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647" w:rsidRPr="00A90D5D" w:rsidRDefault="00C402B5">
      <w:pPr>
        <w:pStyle w:val="8"/>
        <w:ind w:left="2307" w:hangingChars="985" w:hanging="2307"/>
        <w:jc w:val="both"/>
        <w:rPr>
          <w:rFonts w:ascii="CG Times" w:hAnsi="CG Times"/>
          <w:b w:val="0"/>
          <w:color w:val="339966"/>
        </w:rPr>
      </w:pPr>
      <w:bookmarkStart w:id="0" w:name="_GoBack"/>
      <w:bookmarkEnd w:id="0"/>
      <w:r w:rsidRPr="00A90D5D">
        <w:rPr>
          <w:color w:val="339966"/>
          <w:sz w:val="24"/>
          <w:u w:val="none"/>
        </w:rPr>
        <w:t>APPENDIX 4.15</w:t>
      </w:r>
      <w:r w:rsidRPr="00A90D5D">
        <w:rPr>
          <w:color w:val="339966"/>
          <w:sz w:val="24"/>
          <w:u w:val="none"/>
        </w:rPr>
        <w:tab/>
      </w:r>
      <w:r w:rsidR="00D23647" w:rsidRPr="00A90D5D">
        <w:rPr>
          <w:rFonts w:ascii="CG Times" w:hAnsi="CG Times"/>
          <w:color w:val="339966"/>
          <w:sz w:val="24"/>
          <w:u w:val="none"/>
        </w:rPr>
        <w:t>STANDARD SPECIAL CONDITION</w:t>
      </w:r>
      <w:r w:rsidR="003C7BBB" w:rsidRPr="00A90D5D">
        <w:rPr>
          <w:rFonts w:ascii="CG Times" w:hAnsi="CG Times"/>
          <w:color w:val="339966"/>
          <w:sz w:val="24"/>
          <w:u w:val="none"/>
        </w:rPr>
        <w:t>S</w:t>
      </w:r>
      <w:r w:rsidR="00D23647" w:rsidRPr="00A90D5D">
        <w:rPr>
          <w:rFonts w:ascii="CG Times" w:hAnsi="CG Times"/>
          <w:color w:val="339966"/>
          <w:sz w:val="24"/>
          <w:u w:val="none"/>
        </w:rPr>
        <w:t xml:space="preserve"> OF EMPLOYMENT </w:t>
      </w:r>
      <w:r w:rsidR="00D23647" w:rsidRPr="00A90D5D">
        <w:rPr>
          <w:rFonts w:ascii="CG Times" w:hAnsi="CG Times"/>
          <w:b w:val="0"/>
          <w:color w:val="339966"/>
          <w:u w:val="none"/>
        </w:rPr>
        <w:t>:</w:t>
      </w:r>
    </w:p>
    <w:p w:rsidR="00C402B5" w:rsidRPr="00A90D5D" w:rsidRDefault="00D23647" w:rsidP="00D23647">
      <w:pPr>
        <w:pStyle w:val="8"/>
        <w:ind w:left="2307" w:hangingChars="985" w:hanging="2307"/>
        <w:jc w:val="both"/>
        <w:rPr>
          <w:color w:val="339966"/>
          <w:sz w:val="24"/>
          <w:u w:val="none"/>
        </w:rPr>
      </w:pPr>
      <w:r w:rsidRPr="00A90D5D">
        <w:rPr>
          <w:color w:val="339966"/>
          <w:sz w:val="24"/>
          <w:u w:val="none"/>
        </w:rPr>
        <w:tab/>
      </w:r>
      <w:r w:rsidR="00C402B5" w:rsidRPr="00A90D5D">
        <w:rPr>
          <w:color w:val="339966"/>
          <w:sz w:val="24"/>
          <w:u w:val="none"/>
        </w:rPr>
        <w:t>RETENTION OF MONEY PAYABLE TO NON-RESIDENT CONSULTANTS FOR SETTLEMENT OF PROFITS TAX IN CONSULTANCY AGREEMENTS</w:t>
      </w:r>
    </w:p>
    <w:p w:rsidR="00C402B5" w:rsidRPr="00A90D5D" w:rsidRDefault="00C402B5">
      <w:pPr>
        <w:rPr>
          <w:color w:val="339966"/>
          <w:lang w:val="en-US"/>
        </w:rPr>
      </w:pPr>
    </w:p>
    <w:p w:rsidR="00C402B5" w:rsidRPr="00A90D5D" w:rsidRDefault="00C402B5">
      <w:pPr>
        <w:pStyle w:val="2"/>
        <w:rPr>
          <w:color w:val="339966"/>
          <w:sz w:val="24"/>
          <w:u w:val="none"/>
          <w:lang w:val="en-US"/>
        </w:rPr>
      </w:pPr>
    </w:p>
    <w:p w:rsidR="00C402B5" w:rsidRPr="00A90D5D" w:rsidRDefault="00C402B5">
      <w:pPr>
        <w:pStyle w:val="20"/>
        <w:tabs>
          <w:tab w:val="left" w:pos="-720"/>
        </w:tabs>
        <w:rPr>
          <w:color w:val="339966"/>
          <w:sz w:val="24"/>
          <w:lang w:val="en-US"/>
        </w:rPr>
      </w:pPr>
      <w:r w:rsidRPr="00A90D5D">
        <w:rPr>
          <w:color w:val="339966"/>
          <w:sz w:val="24"/>
        </w:rPr>
        <w:t>1.</w:t>
      </w:r>
      <w:r w:rsidRPr="00A90D5D">
        <w:rPr>
          <w:color w:val="339966"/>
          <w:sz w:val="24"/>
        </w:rPr>
        <w:tab/>
      </w:r>
      <w:r w:rsidRPr="00A90D5D">
        <w:rPr>
          <w:color w:val="339966"/>
          <w:sz w:val="24"/>
        </w:rPr>
        <w:tab/>
      </w:r>
      <w:r w:rsidRPr="00A90D5D">
        <w:rPr>
          <w:color w:val="339966"/>
          <w:sz w:val="24"/>
        </w:rPr>
        <w:tab/>
        <w:t xml:space="preserve">This Appendix describes the requirements and procedures promulgated originally in ETWB TCW No. 34/2004 to </w:t>
      </w:r>
      <w:r w:rsidRPr="00A90D5D">
        <w:rPr>
          <w:color w:val="339966"/>
          <w:sz w:val="24"/>
          <w:lang w:val="en-US"/>
        </w:rPr>
        <w:t>set out tax withholding provisions for consultancy agreements</w:t>
      </w:r>
      <w:r w:rsidRPr="00A90D5D">
        <w:rPr>
          <w:color w:val="339966"/>
          <w:sz w:val="24"/>
        </w:rPr>
        <w:t>.  The relevant paragraphs from the original circular are basically subsumed hereunder.</w:t>
      </w:r>
    </w:p>
    <w:p w:rsidR="00C402B5" w:rsidRPr="00A90D5D" w:rsidRDefault="00C402B5">
      <w:pPr>
        <w:tabs>
          <w:tab w:val="left" w:pos="-720"/>
        </w:tabs>
        <w:suppressAutoHyphens/>
        <w:jc w:val="both"/>
        <w:rPr>
          <w:color w:val="339966"/>
          <w:spacing w:val="-3"/>
        </w:rPr>
      </w:pPr>
    </w:p>
    <w:p w:rsidR="00C402B5" w:rsidRPr="00A90D5D" w:rsidRDefault="00C402B5">
      <w:pPr>
        <w:pStyle w:val="2"/>
        <w:rPr>
          <w:b w:val="0"/>
          <w:color w:val="339966"/>
          <w:sz w:val="24"/>
        </w:rPr>
      </w:pPr>
      <w:r w:rsidRPr="00A90D5D">
        <w:rPr>
          <w:b w:val="0"/>
          <w:color w:val="339966"/>
          <w:sz w:val="24"/>
        </w:rPr>
        <w:t>Background</w:t>
      </w:r>
    </w:p>
    <w:p w:rsidR="00C402B5" w:rsidRPr="00A90D5D" w:rsidRDefault="00C402B5">
      <w:pPr>
        <w:pStyle w:val="a5"/>
        <w:ind w:firstLine="0"/>
        <w:rPr>
          <w:b/>
          <w:color w:val="339966"/>
          <w:spacing w:val="-3"/>
          <w:sz w:val="24"/>
          <w:u w:val="single"/>
        </w:rPr>
      </w:pPr>
    </w:p>
    <w:p w:rsidR="00C402B5" w:rsidRPr="00A90D5D" w:rsidRDefault="00C402B5">
      <w:pPr>
        <w:tabs>
          <w:tab w:val="left" w:pos="1418"/>
        </w:tabs>
        <w:suppressAutoHyphens/>
        <w:jc w:val="both"/>
        <w:rPr>
          <w:color w:val="339966"/>
          <w:spacing w:val="-3"/>
          <w:lang w:val="en-US"/>
        </w:rPr>
      </w:pPr>
      <w:r w:rsidRPr="00A90D5D">
        <w:rPr>
          <w:color w:val="339966"/>
          <w:spacing w:val="-3"/>
          <w:lang w:val="en-US"/>
        </w:rPr>
        <w:t>2.</w:t>
      </w:r>
      <w:r w:rsidRPr="00A90D5D">
        <w:rPr>
          <w:color w:val="339966"/>
          <w:spacing w:val="-3"/>
          <w:lang w:val="en-US"/>
        </w:rPr>
        <w:tab/>
        <w:t>The need for inclusion of Special Conditions of Employment in consultancy agreements to enable the Government to withhold sufficient amount of money from fees payable to non-resident consultants for settlement of profits tax chargeable to them stems from a value-for-money audit conducted by the Audit Commission.</w:t>
      </w:r>
    </w:p>
    <w:p w:rsidR="00C402B5" w:rsidRPr="00A90D5D" w:rsidRDefault="00C402B5">
      <w:pPr>
        <w:tabs>
          <w:tab w:val="left" w:pos="1418"/>
        </w:tabs>
        <w:suppressAutoHyphens/>
        <w:jc w:val="both"/>
        <w:rPr>
          <w:color w:val="339966"/>
          <w:spacing w:val="-3"/>
          <w:lang w:val="en-US"/>
        </w:rPr>
      </w:pPr>
    </w:p>
    <w:p w:rsidR="00C402B5" w:rsidRPr="00A90D5D" w:rsidRDefault="00C402B5">
      <w:pPr>
        <w:tabs>
          <w:tab w:val="left" w:pos="1418"/>
        </w:tabs>
        <w:suppressAutoHyphens/>
        <w:jc w:val="both"/>
        <w:rPr>
          <w:color w:val="339966"/>
          <w:lang w:val="en-US"/>
        </w:rPr>
      </w:pPr>
      <w:r w:rsidRPr="00A90D5D">
        <w:rPr>
          <w:color w:val="339966"/>
          <w:lang w:val="en-US"/>
        </w:rPr>
        <w:t>3.</w:t>
      </w:r>
      <w:r w:rsidRPr="00A90D5D">
        <w:rPr>
          <w:color w:val="339966"/>
          <w:lang w:val="en-US"/>
        </w:rPr>
        <w:tab/>
        <w:t>In paragraph 4.13 of its Report No. 39, October 2002, the Audit Commission considers that, in the absence of statutory power for deducting money from payments other than those made to non-resident entertainers or sportsmen, Government departments need to include special terms in the contracts entered into with non-residents to enable departments to withhold a sufficient amount of money for payment of the tax due by the non-residents.</w:t>
      </w:r>
    </w:p>
    <w:p w:rsidR="00C402B5" w:rsidRPr="00A90D5D" w:rsidRDefault="00C402B5">
      <w:pPr>
        <w:tabs>
          <w:tab w:val="left" w:pos="1418"/>
        </w:tabs>
        <w:suppressAutoHyphens/>
        <w:jc w:val="both"/>
        <w:rPr>
          <w:rFonts w:eastAsia="絡遺羹"/>
          <w:color w:val="339966"/>
          <w:lang w:val="en-US"/>
        </w:rPr>
      </w:pPr>
    </w:p>
    <w:p w:rsidR="00C402B5" w:rsidRPr="00A90D5D" w:rsidRDefault="00C402B5">
      <w:pPr>
        <w:pStyle w:val="7"/>
      </w:pPr>
      <w:r w:rsidRPr="00A90D5D">
        <w:t>Policy</w:t>
      </w:r>
    </w:p>
    <w:p w:rsidR="00C402B5" w:rsidRPr="00A90D5D" w:rsidRDefault="00C402B5">
      <w:pPr>
        <w:tabs>
          <w:tab w:val="left" w:pos="1418"/>
        </w:tabs>
        <w:suppressAutoHyphens/>
        <w:jc w:val="both"/>
        <w:rPr>
          <w:color w:val="339966"/>
          <w:spacing w:val="-3"/>
          <w:lang w:val="en-US"/>
        </w:rPr>
      </w:pPr>
    </w:p>
    <w:p w:rsidR="00C402B5" w:rsidRPr="00A90D5D" w:rsidRDefault="00C402B5">
      <w:pPr>
        <w:tabs>
          <w:tab w:val="left" w:pos="1418"/>
        </w:tabs>
        <w:suppressAutoHyphens/>
        <w:jc w:val="both"/>
        <w:rPr>
          <w:color w:val="339966"/>
          <w:spacing w:val="-3"/>
          <w:lang w:val="en-US"/>
        </w:rPr>
      </w:pPr>
      <w:r w:rsidRPr="00A90D5D">
        <w:rPr>
          <w:color w:val="339966"/>
          <w:spacing w:val="-3"/>
          <w:lang w:val="en-US"/>
        </w:rPr>
        <w:t>4.</w:t>
      </w:r>
      <w:r w:rsidRPr="00A90D5D">
        <w:rPr>
          <w:color w:val="339966"/>
          <w:spacing w:val="-3"/>
          <w:lang w:val="en-US"/>
        </w:rPr>
        <w:tab/>
        <w:t xml:space="preserve">It shall be included in consultancy agreements for engaging non-resident consultants (unincorporated or incorporated businesses), a provision for withholding money out of payments made to them, for the settlement of profits tax chargeable on the fee. </w:t>
      </w:r>
    </w:p>
    <w:p w:rsidR="00C402B5" w:rsidRPr="00A90D5D" w:rsidRDefault="00C402B5">
      <w:pPr>
        <w:tabs>
          <w:tab w:val="left" w:pos="1418"/>
        </w:tabs>
        <w:suppressAutoHyphens/>
        <w:jc w:val="both"/>
        <w:rPr>
          <w:color w:val="339966"/>
          <w:spacing w:val="-3"/>
          <w:lang w:val="en-US"/>
        </w:rPr>
      </w:pPr>
    </w:p>
    <w:p w:rsidR="00C402B5" w:rsidRPr="00A90D5D" w:rsidRDefault="00C402B5">
      <w:pPr>
        <w:tabs>
          <w:tab w:val="left" w:pos="1418"/>
        </w:tabs>
        <w:suppressAutoHyphens/>
        <w:jc w:val="both"/>
        <w:rPr>
          <w:color w:val="339966"/>
          <w:spacing w:val="-3"/>
          <w:lang w:val="en-US"/>
        </w:rPr>
      </w:pPr>
      <w:r w:rsidRPr="00A90D5D">
        <w:rPr>
          <w:color w:val="339966"/>
          <w:spacing w:val="-3"/>
          <w:lang w:val="en-US"/>
        </w:rPr>
        <w:t>5.</w:t>
      </w:r>
      <w:r w:rsidRPr="00A90D5D">
        <w:rPr>
          <w:color w:val="339966"/>
          <w:spacing w:val="-3"/>
          <w:lang w:val="en-US"/>
        </w:rPr>
        <w:tab/>
        <w:t>The procuring departments shall withhold a percentage of the fees payable to the consultants according to the SCE set out in Annex C for settlement of any profits tax that may be chargeable on the fees due to the non-resident consultants.</w:t>
      </w:r>
    </w:p>
    <w:p w:rsidR="00C402B5" w:rsidRPr="00A90D5D" w:rsidRDefault="00C402B5">
      <w:pPr>
        <w:tabs>
          <w:tab w:val="left" w:pos="1418"/>
        </w:tabs>
        <w:suppressAutoHyphens/>
        <w:jc w:val="both"/>
        <w:rPr>
          <w:color w:val="339966"/>
          <w:spacing w:val="-3"/>
          <w:lang w:val="en-US"/>
        </w:rPr>
      </w:pPr>
    </w:p>
    <w:p w:rsidR="00C402B5" w:rsidRPr="00A90D5D" w:rsidRDefault="00C402B5">
      <w:pPr>
        <w:pStyle w:val="30"/>
      </w:pPr>
      <w:r w:rsidRPr="00A90D5D">
        <w:t>6.</w:t>
      </w:r>
      <w:r w:rsidRPr="00A90D5D">
        <w:tab/>
        <w:t>The procuring departments shall make timely reports to the Inland Revenue Department (IRD) on all payments made to non-resident consultants. The procedures set out in Annex A shall be followed.</w:t>
      </w:r>
    </w:p>
    <w:p w:rsidR="00C402B5" w:rsidRPr="00A90D5D" w:rsidRDefault="00C402B5">
      <w:pPr>
        <w:tabs>
          <w:tab w:val="left" w:pos="1418"/>
        </w:tabs>
        <w:suppressAutoHyphens/>
        <w:jc w:val="both"/>
        <w:rPr>
          <w:color w:val="339966"/>
          <w:spacing w:val="-3"/>
          <w:lang w:val="en-US"/>
        </w:rPr>
      </w:pPr>
    </w:p>
    <w:p w:rsidR="00E91C0B" w:rsidRPr="00A90D5D" w:rsidRDefault="00E91C0B">
      <w:pPr>
        <w:pStyle w:val="20"/>
        <w:tabs>
          <w:tab w:val="left" w:pos="1418"/>
        </w:tabs>
        <w:rPr>
          <w:color w:val="339966"/>
          <w:sz w:val="24"/>
          <w:lang w:val="en-US"/>
        </w:rPr>
        <w:sectPr w:rsidR="00E91C0B" w:rsidRPr="00A90D5D">
          <w:footerReference w:type="default" r:id="rId8"/>
          <w:pgSz w:w="11906" w:h="16838"/>
          <w:pgMar w:top="1258" w:right="1286" w:bottom="1440" w:left="1800" w:header="851" w:footer="992" w:gutter="0"/>
          <w:cols w:space="425"/>
          <w:docGrid w:type="lines" w:linePitch="360"/>
        </w:sectPr>
      </w:pPr>
    </w:p>
    <w:p w:rsidR="00C402B5" w:rsidRPr="00A90D5D" w:rsidRDefault="00C402B5">
      <w:pPr>
        <w:pStyle w:val="20"/>
        <w:tabs>
          <w:tab w:val="left" w:pos="1418"/>
        </w:tabs>
        <w:rPr>
          <w:color w:val="339966"/>
          <w:sz w:val="24"/>
          <w:lang w:val="en-US"/>
        </w:rPr>
      </w:pPr>
      <w:r w:rsidRPr="00A90D5D">
        <w:rPr>
          <w:color w:val="339966"/>
          <w:sz w:val="24"/>
          <w:lang w:val="en-US"/>
        </w:rPr>
        <w:lastRenderedPageBreak/>
        <w:t>7.</w:t>
      </w:r>
      <w:r w:rsidRPr="00A90D5D">
        <w:rPr>
          <w:color w:val="339966"/>
          <w:sz w:val="24"/>
          <w:lang w:val="en-US"/>
        </w:rPr>
        <w:tab/>
        <w:t>IRD will issue notices of assessment to the non-resident consultants direct. As there are secrecy provisions in the Inland Revenue Ordinance, unless the procuring department is appointed as the authorized representative of the non-resident consultants, IRD cannot disclose information on the tax affairs of the non-resident consultants to the procuring department.</w:t>
      </w:r>
    </w:p>
    <w:p w:rsidR="00C402B5" w:rsidRPr="00A90D5D" w:rsidRDefault="00C402B5">
      <w:pPr>
        <w:tabs>
          <w:tab w:val="left" w:pos="1418"/>
        </w:tabs>
        <w:suppressAutoHyphens/>
        <w:jc w:val="both"/>
        <w:rPr>
          <w:color w:val="339966"/>
          <w:spacing w:val="-3"/>
          <w:lang w:val="en-US"/>
        </w:rPr>
      </w:pPr>
    </w:p>
    <w:p w:rsidR="00C402B5" w:rsidRPr="00A90D5D" w:rsidRDefault="00C402B5">
      <w:pPr>
        <w:tabs>
          <w:tab w:val="left" w:pos="1418"/>
        </w:tabs>
        <w:suppressAutoHyphens/>
        <w:jc w:val="both"/>
        <w:rPr>
          <w:color w:val="339966"/>
          <w:spacing w:val="-3"/>
          <w:lang w:val="en-US"/>
        </w:rPr>
      </w:pPr>
      <w:r w:rsidRPr="00A90D5D">
        <w:rPr>
          <w:color w:val="339966"/>
          <w:spacing w:val="-3"/>
          <w:lang w:val="en-US"/>
        </w:rPr>
        <w:t>8.</w:t>
      </w:r>
      <w:r w:rsidRPr="00A90D5D">
        <w:rPr>
          <w:color w:val="339966"/>
          <w:spacing w:val="-3"/>
          <w:lang w:val="en-US"/>
        </w:rPr>
        <w:tab/>
        <w:t>For the avoidance of ambiguity, the tax withholding requirement applies to non-resident main consultants only, but not non-resident sub-consultants who do not have direct contractual relationships with the Government.</w:t>
      </w:r>
    </w:p>
    <w:p w:rsidR="00C402B5" w:rsidRPr="00A90D5D" w:rsidRDefault="00C402B5">
      <w:pPr>
        <w:tabs>
          <w:tab w:val="left" w:pos="1418"/>
        </w:tabs>
        <w:suppressAutoHyphens/>
        <w:jc w:val="both"/>
        <w:rPr>
          <w:color w:val="339966"/>
          <w:spacing w:val="-3"/>
          <w:lang w:val="en-US"/>
        </w:rPr>
      </w:pPr>
    </w:p>
    <w:p w:rsidR="00C402B5" w:rsidRPr="00A90D5D" w:rsidRDefault="00C402B5">
      <w:pPr>
        <w:pStyle w:val="7"/>
      </w:pPr>
      <w:r w:rsidRPr="00A90D5D">
        <w:t>Implementation</w:t>
      </w:r>
    </w:p>
    <w:p w:rsidR="00C402B5" w:rsidRPr="00A90D5D" w:rsidRDefault="00C402B5">
      <w:pPr>
        <w:tabs>
          <w:tab w:val="left" w:pos="1418"/>
        </w:tabs>
        <w:suppressAutoHyphens/>
        <w:jc w:val="both"/>
        <w:rPr>
          <w:b/>
          <w:color w:val="339966"/>
          <w:spacing w:val="-3"/>
          <w:lang w:val="en-US"/>
        </w:rPr>
      </w:pPr>
    </w:p>
    <w:p w:rsidR="00C402B5" w:rsidRPr="00A90D5D" w:rsidRDefault="00C402B5">
      <w:pPr>
        <w:tabs>
          <w:tab w:val="left" w:pos="1418"/>
        </w:tabs>
        <w:suppressAutoHyphens/>
        <w:jc w:val="both"/>
        <w:rPr>
          <w:color w:val="339966"/>
          <w:spacing w:val="-3"/>
          <w:lang w:val="en-US"/>
        </w:rPr>
      </w:pPr>
      <w:r w:rsidRPr="00A90D5D">
        <w:rPr>
          <w:color w:val="339966"/>
          <w:spacing w:val="-3"/>
          <w:lang w:val="en-US"/>
        </w:rPr>
        <w:t>9.</w:t>
      </w:r>
      <w:r w:rsidRPr="00A90D5D">
        <w:rPr>
          <w:color w:val="339966"/>
          <w:spacing w:val="-3"/>
          <w:lang w:val="en-US"/>
        </w:rPr>
        <w:tab/>
        <w:t>Consultants bidding for consultancy agreements shall be asked to declare in their bids whether they are Hong Kong residents or not. The standard clauses set out in Annex B shall be included in invitation letters for consultancy proposals.</w:t>
      </w:r>
    </w:p>
    <w:p w:rsidR="00C402B5" w:rsidRPr="00A90D5D" w:rsidRDefault="00C402B5">
      <w:pPr>
        <w:tabs>
          <w:tab w:val="left" w:pos="1418"/>
        </w:tabs>
        <w:suppressAutoHyphens/>
        <w:jc w:val="both"/>
        <w:rPr>
          <w:color w:val="339966"/>
          <w:spacing w:val="-3"/>
          <w:lang w:val="en-US"/>
        </w:rPr>
      </w:pPr>
    </w:p>
    <w:p w:rsidR="00C402B5" w:rsidRPr="00A90D5D" w:rsidRDefault="00C402B5">
      <w:pPr>
        <w:tabs>
          <w:tab w:val="left" w:pos="1418"/>
        </w:tabs>
        <w:suppressAutoHyphens/>
        <w:jc w:val="both"/>
        <w:rPr>
          <w:color w:val="339966"/>
          <w:spacing w:val="-3"/>
          <w:lang w:val="en-US"/>
        </w:rPr>
      </w:pPr>
      <w:r w:rsidRPr="00A90D5D">
        <w:rPr>
          <w:color w:val="339966"/>
          <w:spacing w:val="-3"/>
          <w:lang w:val="en-US"/>
        </w:rPr>
        <w:t>10.</w:t>
      </w:r>
      <w:r w:rsidRPr="00A90D5D">
        <w:rPr>
          <w:color w:val="339966"/>
          <w:spacing w:val="-3"/>
          <w:lang w:val="en-US"/>
        </w:rPr>
        <w:tab/>
        <w:t>The Special Conditions of Employment set out in Annex C shall be incorporated in consultancy agreements.</w:t>
      </w:r>
    </w:p>
    <w:p w:rsidR="00C402B5" w:rsidRPr="00A90D5D" w:rsidRDefault="00C402B5">
      <w:pPr>
        <w:tabs>
          <w:tab w:val="left" w:pos="1418"/>
        </w:tabs>
        <w:suppressAutoHyphens/>
        <w:jc w:val="both"/>
        <w:rPr>
          <w:color w:val="339966"/>
          <w:spacing w:val="-3"/>
          <w:lang w:val="en-US"/>
        </w:rPr>
      </w:pPr>
    </w:p>
    <w:p w:rsidR="00C402B5" w:rsidRPr="00A90D5D" w:rsidRDefault="00C402B5">
      <w:pPr>
        <w:tabs>
          <w:tab w:val="left" w:pos="1418"/>
        </w:tabs>
        <w:suppressAutoHyphens/>
        <w:jc w:val="both"/>
        <w:rPr>
          <w:color w:val="339966"/>
          <w:spacing w:val="-3"/>
          <w:lang w:val="en-US"/>
        </w:rPr>
      </w:pPr>
    </w:p>
    <w:p w:rsidR="00C402B5" w:rsidRPr="00A90D5D" w:rsidRDefault="00C402B5">
      <w:pPr>
        <w:wordWrap w:val="0"/>
        <w:jc w:val="right"/>
        <w:rPr>
          <w:b/>
          <w:color w:val="339966"/>
        </w:rPr>
      </w:pPr>
      <w:r w:rsidRPr="00A90D5D">
        <w:rPr>
          <w:color w:val="339966"/>
          <w:spacing w:val="-3"/>
          <w:lang w:val="en-US"/>
        </w:rPr>
        <w:br w:type="page"/>
      </w:r>
      <w:r w:rsidRPr="00A90D5D">
        <w:rPr>
          <w:b/>
          <w:color w:val="339966"/>
        </w:rPr>
        <w:lastRenderedPageBreak/>
        <w:t>Annex A of Appendix 4.15</w:t>
      </w:r>
    </w:p>
    <w:p w:rsidR="00C402B5" w:rsidRPr="00A90D5D" w:rsidRDefault="00C402B5">
      <w:pPr>
        <w:jc w:val="both"/>
        <w:rPr>
          <w:b/>
          <w:color w:val="339966"/>
        </w:rPr>
      </w:pPr>
    </w:p>
    <w:p w:rsidR="00C402B5" w:rsidRPr="00A90D5D" w:rsidRDefault="00C402B5">
      <w:pPr>
        <w:jc w:val="center"/>
        <w:rPr>
          <w:b/>
          <w:color w:val="339966"/>
        </w:rPr>
      </w:pPr>
      <w:r w:rsidRPr="00A90D5D">
        <w:rPr>
          <w:b/>
          <w:color w:val="339966"/>
        </w:rPr>
        <w:t xml:space="preserve">Procedures to be Followed in the Retention of Money </w:t>
      </w:r>
    </w:p>
    <w:p w:rsidR="00C402B5" w:rsidRPr="00A90D5D" w:rsidRDefault="00C402B5">
      <w:pPr>
        <w:jc w:val="center"/>
        <w:rPr>
          <w:b/>
          <w:color w:val="339966"/>
        </w:rPr>
      </w:pPr>
      <w:r w:rsidRPr="00A90D5D">
        <w:rPr>
          <w:b/>
          <w:color w:val="339966"/>
        </w:rPr>
        <w:t>Payable to Non-resident Consultants for Settlement of Profits Tax</w:t>
      </w:r>
    </w:p>
    <w:p w:rsidR="00C402B5" w:rsidRPr="00A90D5D" w:rsidRDefault="00C402B5">
      <w:pPr>
        <w:jc w:val="both"/>
        <w:rPr>
          <w:b/>
          <w:color w:val="339966"/>
        </w:rPr>
      </w:pPr>
    </w:p>
    <w:p w:rsidR="00C402B5" w:rsidRPr="00A90D5D" w:rsidRDefault="00C402B5" w:rsidP="00C402B5">
      <w:pPr>
        <w:numPr>
          <w:ilvl w:val="0"/>
          <w:numId w:val="2"/>
        </w:numPr>
        <w:jc w:val="both"/>
        <w:rPr>
          <w:b/>
          <w:color w:val="339966"/>
        </w:rPr>
      </w:pPr>
      <w:r w:rsidRPr="00A90D5D">
        <w:rPr>
          <w:b/>
          <w:color w:val="339966"/>
        </w:rPr>
        <w:t>Retention provision to be included in consultancy agreements</w:t>
      </w:r>
    </w:p>
    <w:p w:rsidR="00C402B5" w:rsidRPr="00A90D5D" w:rsidRDefault="00C402B5">
      <w:pPr>
        <w:jc w:val="both"/>
        <w:rPr>
          <w:color w:val="339966"/>
        </w:rPr>
      </w:pPr>
    </w:p>
    <w:p w:rsidR="00C402B5" w:rsidRPr="00A90D5D" w:rsidRDefault="00C402B5">
      <w:pPr>
        <w:ind w:left="720"/>
        <w:jc w:val="both"/>
        <w:rPr>
          <w:color w:val="339966"/>
        </w:rPr>
      </w:pPr>
      <w:r w:rsidRPr="00A90D5D">
        <w:rPr>
          <w:color w:val="339966"/>
        </w:rPr>
        <w:t>Departments should include in the consultancy agreements a provision (i.e. SCE clause set out in Annex C) for withholding money out of payments made to non-resident consultants (unincorporated or incorporated businesses) in respect of services rendered in Hong Kong.</w:t>
      </w:r>
    </w:p>
    <w:p w:rsidR="00C402B5" w:rsidRPr="00A90D5D" w:rsidRDefault="00C402B5">
      <w:pPr>
        <w:ind w:left="720"/>
        <w:jc w:val="both"/>
        <w:rPr>
          <w:color w:val="339966"/>
        </w:rPr>
      </w:pPr>
    </w:p>
    <w:p w:rsidR="00C402B5" w:rsidRPr="00A90D5D" w:rsidRDefault="00C402B5" w:rsidP="00C402B5">
      <w:pPr>
        <w:numPr>
          <w:ilvl w:val="0"/>
          <w:numId w:val="2"/>
        </w:numPr>
        <w:jc w:val="both"/>
        <w:rPr>
          <w:b/>
          <w:color w:val="339966"/>
        </w:rPr>
      </w:pPr>
      <w:r w:rsidRPr="00A90D5D">
        <w:rPr>
          <w:b/>
          <w:color w:val="339966"/>
        </w:rPr>
        <w:t>Timing for withholding money</w:t>
      </w:r>
    </w:p>
    <w:p w:rsidR="00C402B5" w:rsidRPr="00A90D5D" w:rsidRDefault="00C402B5">
      <w:pPr>
        <w:jc w:val="both"/>
        <w:rPr>
          <w:color w:val="339966"/>
        </w:rPr>
      </w:pPr>
    </w:p>
    <w:p w:rsidR="00C402B5" w:rsidRPr="00A90D5D" w:rsidRDefault="00C402B5">
      <w:pPr>
        <w:ind w:left="720"/>
        <w:jc w:val="both"/>
        <w:rPr>
          <w:color w:val="339966"/>
        </w:rPr>
      </w:pPr>
      <w:r w:rsidRPr="00A90D5D">
        <w:rPr>
          <w:color w:val="339966"/>
        </w:rPr>
        <w:t>The procuring department should withhold money in accordance with the provision stipulated in the above paragraph upon each payment to the non-resident consultants.</w:t>
      </w:r>
    </w:p>
    <w:p w:rsidR="00C402B5" w:rsidRPr="00A90D5D" w:rsidRDefault="00C402B5">
      <w:pPr>
        <w:ind w:left="720"/>
        <w:jc w:val="both"/>
        <w:rPr>
          <w:color w:val="339966"/>
        </w:rPr>
      </w:pPr>
    </w:p>
    <w:p w:rsidR="00C402B5" w:rsidRPr="00A90D5D" w:rsidRDefault="00C402B5" w:rsidP="00C402B5">
      <w:pPr>
        <w:numPr>
          <w:ilvl w:val="0"/>
          <w:numId w:val="2"/>
        </w:numPr>
        <w:jc w:val="both"/>
        <w:rPr>
          <w:b/>
          <w:color w:val="339966"/>
        </w:rPr>
      </w:pPr>
      <w:r w:rsidRPr="00A90D5D">
        <w:rPr>
          <w:b/>
          <w:color w:val="339966"/>
        </w:rPr>
        <w:t>Calculation of the amount to be withheld for tax payment</w:t>
      </w:r>
    </w:p>
    <w:p w:rsidR="00C402B5" w:rsidRPr="00A90D5D" w:rsidRDefault="00C402B5">
      <w:pPr>
        <w:jc w:val="both"/>
        <w:rPr>
          <w:color w:val="339966"/>
        </w:rPr>
      </w:pPr>
    </w:p>
    <w:p w:rsidR="00C402B5" w:rsidRPr="00A90D5D" w:rsidRDefault="00C402B5" w:rsidP="00F02710">
      <w:pPr>
        <w:ind w:left="720"/>
        <w:jc w:val="both"/>
        <w:rPr>
          <w:color w:val="339966"/>
        </w:rPr>
      </w:pPr>
      <w:r w:rsidRPr="00A90D5D">
        <w:rPr>
          <w:color w:val="339966"/>
        </w:rPr>
        <w:t xml:space="preserve">The amount of tax withheld should be calculated on the </w:t>
      </w:r>
      <w:r w:rsidRPr="00A90D5D">
        <w:rPr>
          <w:b/>
          <w:color w:val="339966"/>
        </w:rPr>
        <w:t>gross fee</w:t>
      </w:r>
      <w:r w:rsidRPr="00A90D5D">
        <w:rPr>
          <w:color w:val="339966"/>
        </w:rPr>
        <w:t xml:space="preserve"> payable (exclusive of any reimbursement of expenses, if any</w:t>
      </w:r>
      <w:r w:rsidRPr="00C8490E">
        <w:rPr>
          <w:color w:val="339966"/>
        </w:rPr>
        <w:t>)</w:t>
      </w:r>
      <w:r w:rsidR="00D24764" w:rsidRPr="00C8490E">
        <w:rPr>
          <w:color w:val="339966"/>
          <w:lang w:eastAsia="zh-HK"/>
        </w:rPr>
        <w:t>.  P</w:t>
      </w:r>
      <w:r w:rsidR="00D24764" w:rsidRPr="00C8490E">
        <w:rPr>
          <w:color w:val="339966"/>
        </w:rPr>
        <w:t xml:space="preserve">lease refer to the website of the Inland Revenue Department </w:t>
      </w:r>
      <w:r w:rsidR="00D24764" w:rsidRPr="00C8490E">
        <w:rPr>
          <w:color w:val="339966"/>
          <w:lang w:eastAsia="zh-HK"/>
        </w:rPr>
        <w:t>(</w:t>
      </w:r>
      <w:r w:rsidR="00D24764" w:rsidRPr="00C8490E">
        <w:rPr>
          <w:color w:val="339966"/>
        </w:rPr>
        <w:t>www.ird.gov.hk</w:t>
      </w:r>
      <w:r w:rsidR="00D24764" w:rsidRPr="00C8490E">
        <w:rPr>
          <w:color w:val="339966"/>
          <w:lang w:eastAsia="zh-HK"/>
        </w:rPr>
        <w:t>) for the details of latest profits tax rates.</w:t>
      </w:r>
    </w:p>
    <w:p w:rsidR="00C402B5" w:rsidRPr="00A90D5D" w:rsidRDefault="00C402B5">
      <w:pPr>
        <w:ind w:left="720"/>
        <w:jc w:val="both"/>
        <w:rPr>
          <w:color w:val="339966"/>
        </w:rPr>
      </w:pPr>
    </w:p>
    <w:p w:rsidR="00C402B5" w:rsidRPr="00A90D5D" w:rsidRDefault="00C402B5" w:rsidP="00C402B5">
      <w:pPr>
        <w:numPr>
          <w:ilvl w:val="0"/>
          <w:numId w:val="2"/>
        </w:numPr>
        <w:jc w:val="both"/>
        <w:rPr>
          <w:b/>
          <w:color w:val="339966"/>
        </w:rPr>
      </w:pPr>
      <w:r w:rsidRPr="00A90D5D">
        <w:rPr>
          <w:b/>
          <w:color w:val="339966"/>
        </w:rPr>
        <w:t>Notification to IRD</w:t>
      </w:r>
    </w:p>
    <w:p w:rsidR="00C402B5" w:rsidRPr="00A90D5D" w:rsidRDefault="00C402B5">
      <w:pPr>
        <w:jc w:val="both"/>
        <w:rPr>
          <w:color w:val="339966"/>
        </w:rPr>
      </w:pPr>
    </w:p>
    <w:p w:rsidR="00C402B5" w:rsidRPr="00A90D5D" w:rsidRDefault="00C402B5">
      <w:pPr>
        <w:ind w:left="720"/>
        <w:jc w:val="both"/>
        <w:rPr>
          <w:color w:val="339966"/>
        </w:rPr>
      </w:pPr>
      <w:r w:rsidRPr="00A90D5D">
        <w:rPr>
          <w:color w:val="339966"/>
        </w:rPr>
        <w:t xml:space="preserve">A written notification should be given to IRD under the employer’s return reference of the procuring department </w:t>
      </w:r>
      <w:r w:rsidRPr="00A90D5D">
        <w:rPr>
          <w:b/>
          <w:color w:val="339966"/>
        </w:rPr>
        <w:t>within one month</w:t>
      </w:r>
      <w:r w:rsidRPr="00A90D5D">
        <w:rPr>
          <w:color w:val="339966"/>
        </w:rPr>
        <w:t xml:space="preserve"> from the end of the consultancy agreement together with a transfer voucher or cheque for the money withheld. The following particulars in relation to the non-resident consultants should be given in the notification:</w:t>
      </w:r>
    </w:p>
    <w:p w:rsidR="00C402B5" w:rsidRPr="00A90D5D" w:rsidRDefault="00C402B5" w:rsidP="00C402B5">
      <w:pPr>
        <w:numPr>
          <w:ilvl w:val="1"/>
          <w:numId w:val="2"/>
        </w:numPr>
        <w:spacing w:afterLines="50" w:after="180"/>
        <w:ind w:left="1202" w:hanging="482"/>
        <w:jc w:val="both"/>
        <w:rPr>
          <w:color w:val="339966"/>
        </w:rPr>
      </w:pPr>
      <w:r w:rsidRPr="00A90D5D">
        <w:rPr>
          <w:color w:val="339966"/>
        </w:rPr>
        <w:t>Full name of the non-resident consultants;</w:t>
      </w:r>
    </w:p>
    <w:p w:rsidR="00C402B5" w:rsidRPr="00A90D5D" w:rsidRDefault="00C402B5" w:rsidP="00C402B5">
      <w:pPr>
        <w:numPr>
          <w:ilvl w:val="1"/>
          <w:numId w:val="2"/>
        </w:numPr>
        <w:spacing w:afterLines="50" w:after="180"/>
        <w:ind w:left="1202" w:hanging="482"/>
        <w:jc w:val="both"/>
        <w:rPr>
          <w:color w:val="339966"/>
        </w:rPr>
      </w:pPr>
      <w:r w:rsidRPr="00A90D5D">
        <w:rPr>
          <w:color w:val="339966"/>
        </w:rPr>
        <w:t>Correspondence address and contact telephone number in Hong Kong;</w:t>
      </w:r>
    </w:p>
    <w:p w:rsidR="00C402B5" w:rsidRPr="00A90D5D" w:rsidRDefault="00C402B5" w:rsidP="00C402B5">
      <w:pPr>
        <w:numPr>
          <w:ilvl w:val="1"/>
          <w:numId w:val="2"/>
        </w:numPr>
        <w:spacing w:afterLines="50" w:after="180"/>
        <w:ind w:left="1202" w:hanging="482"/>
        <w:jc w:val="both"/>
        <w:rPr>
          <w:color w:val="339966"/>
        </w:rPr>
      </w:pPr>
      <w:r w:rsidRPr="00A90D5D">
        <w:rPr>
          <w:color w:val="339966"/>
        </w:rPr>
        <w:t>Overseas correspondence address;</w:t>
      </w:r>
    </w:p>
    <w:p w:rsidR="00C402B5" w:rsidRPr="00A90D5D" w:rsidRDefault="00C402B5" w:rsidP="00C402B5">
      <w:pPr>
        <w:numPr>
          <w:ilvl w:val="1"/>
          <w:numId w:val="2"/>
        </w:numPr>
        <w:spacing w:afterLines="50" w:after="180"/>
        <w:ind w:left="1202" w:hanging="482"/>
        <w:jc w:val="both"/>
        <w:rPr>
          <w:color w:val="339966"/>
        </w:rPr>
      </w:pPr>
      <w:r w:rsidRPr="00A90D5D">
        <w:rPr>
          <w:color w:val="339966"/>
        </w:rPr>
        <w:t>Type of services rendered;</w:t>
      </w:r>
    </w:p>
    <w:p w:rsidR="00C402B5" w:rsidRPr="00A90D5D" w:rsidRDefault="00C402B5" w:rsidP="00C402B5">
      <w:pPr>
        <w:numPr>
          <w:ilvl w:val="1"/>
          <w:numId w:val="2"/>
        </w:numPr>
        <w:spacing w:afterLines="50" w:after="180"/>
        <w:ind w:left="1202" w:hanging="482"/>
        <w:jc w:val="both"/>
        <w:rPr>
          <w:color w:val="339966"/>
        </w:rPr>
      </w:pPr>
      <w:r w:rsidRPr="00A90D5D">
        <w:rPr>
          <w:color w:val="339966"/>
        </w:rPr>
        <w:t>Consultancy fee and consultancy period;</w:t>
      </w:r>
    </w:p>
    <w:p w:rsidR="00C402B5" w:rsidRPr="00A90D5D" w:rsidRDefault="00C402B5" w:rsidP="00C402B5">
      <w:pPr>
        <w:numPr>
          <w:ilvl w:val="1"/>
          <w:numId w:val="2"/>
        </w:numPr>
        <w:spacing w:afterLines="50" w:after="180"/>
        <w:ind w:left="1202" w:hanging="482"/>
        <w:jc w:val="both"/>
        <w:rPr>
          <w:color w:val="339966"/>
        </w:rPr>
      </w:pPr>
      <w:r w:rsidRPr="00A90D5D">
        <w:rPr>
          <w:color w:val="339966"/>
        </w:rPr>
        <w:t>Total payments (net of money withheld for tax payment purposes) made in the fiscal year ended 31 March;</w:t>
      </w:r>
    </w:p>
    <w:p w:rsidR="00C402B5" w:rsidRPr="00A90D5D" w:rsidRDefault="00C402B5" w:rsidP="00C402B5">
      <w:pPr>
        <w:numPr>
          <w:ilvl w:val="1"/>
          <w:numId w:val="2"/>
        </w:numPr>
        <w:ind w:hanging="480"/>
        <w:jc w:val="both"/>
        <w:rPr>
          <w:color w:val="339966"/>
        </w:rPr>
      </w:pPr>
      <w:r w:rsidRPr="00A90D5D">
        <w:rPr>
          <w:color w:val="339966"/>
        </w:rPr>
        <w:t>Amount of money withheld for settlement of profits tax liability of the non-resident consultants.</w:t>
      </w:r>
    </w:p>
    <w:p w:rsidR="00C402B5" w:rsidRPr="00A90D5D" w:rsidRDefault="00C402B5">
      <w:pPr>
        <w:jc w:val="both"/>
        <w:rPr>
          <w:color w:val="339966"/>
        </w:rPr>
      </w:pPr>
    </w:p>
    <w:p w:rsidR="00C402B5" w:rsidRPr="00A90D5D" w:rsidRDefault="00C402B5">
      <w:pPr>
        <w:ind w:left="720"/>
        <w:jc w:val="both"/>
        <w:rPr>
          <w:color w:val="339966"/>
        </w:rPr>
      </w:pPr>
      <w:r w:rsidRPr="00A90D5D">
        <w:rPr>
          <w:color w:val="339966"/>
        </w:rPr>
        <w:t xml:space="preserve">To facilitate reporting of the above information to IRD, the standard memo form set out in the </w:t>
      </w:r>
      <w:r w:rsidRPr="00A90D5D">
        <w:rPr>
          <w:color w:val="339966"/>
          <w:u w:val="single"/>
        </w:rPr>
        <w:t>Attachment</w:t>
      </w:r>
      <w:r w:rsidRPr="00A90D5D">
        <w:rPr>
          <w:color w:val="339966"/>
        </w:rPr>
        <w:t xml:space="preserve"> may be used. Similar format or summary statement containing the above particulars of the non-resident consultants is also acceptable.</w:t>
      </w:r>
    </w:p>
    <w:p w:rsidR="00C402B5" w:rsidRPr="00A90D5D" w:rsidRDefault="00C402B5">
      <w:pPr>
        <w:ind w:left="480"/>
        <w:jc w:val="both"/>
        <w:rPr>
          <w:color w:val="339966"/>
        </w:rPr>
      </w:pPr>
    </w:p>
    <w:p w:rsidR="00C402B5" w:rsidRPr="00A90D5D" w:rsidRDefault="00C402B5">
      <w:pPr>
        <w:ind w:left="720"/>
        <w:jc w:val="both"/>
        <w:rPr>
          <w:color w:val="339966"/>
        </w:rPr>
      </w:pPr>
      <w:r w:rsidRPr="00A90D5D">
        <w:rPr>
          <w:color w:val="339966"/>
        </w:rPr>
        <w:t>In addition, in the case that the consultancy agreement spans over more than one year and there are progress payments made at different stages of completion of the consultancy agreement, departments should, within one month after the end of the fiscal year, give IRD notification together with a transfer voucher or cheque for the money withheld for that year. Notification of final payment upon completion of the consultancy agreement should be made as advised at the beginning of this section.</w:t>
      </w:r>
    </w:p>
    <w:p w:rsidR="00C402B5" w:rsidRPr="00A90D5D" w:rsidRDefault="00C402B5">
      <w:pPr>
        <w:ind w:left="480"/>
        <w:jc w:val="both"/>
        <w:rPr>
          <w:color w:val="339966"/>
        </w:rPr>
      </w:pPr>
    </w:p>
    <w:p w:rsidR="00C402B5" w:rsidRPr="00A90D5D" w:rsidRDefault="00C402B5" w:rsidP="00C402B5">
      <w:pPr>
        <w:numPr>
          <w:ilvl w:val="0"/>
          <w:numId w:val="2"/>
        </w:numPr>
        <w:jc w:val="both"/>
        <w:rPr>
          <w:b/>
          <w:color w:val="339966"/>
        </w:rPr>
      </w:pPr>
      <w:r w:rsidRPr="00A90D5D">
        <w:rPr>
          <w:b/>
          <w:color w:val="339966"/>
        </w:rPr>
        <w:t>Notification by IRD to the Non-residents</w:t>
      </w:r>
    </w:p>
    <w:p w:rsidR="00C402B5" w:rsidRPr="00A90D5D" w:rsidRDefault="00C402B5">
      <w:pPr>
        <w:jc w:val="both"/>
        <w:rPr>
          <w:color w:val="339966"/>
        </w:rPr>
      </w:pPr>
    </w:p>
    <w:p w:rsidR="00C402B5" w:rsidRPr="00A90D5D" w:rsidRDefault="00C402B5">
      <w:pPr>
        <w:ind w:left="720"/>
        <w:jc w:val="both"/>
        <w:rPr>
          <w:color w:val="339966"/>
        </w:rPr>
      </w:pPr>
      <w:r w:rsidRPr="00A90D5D">
        <w:rPr>
          <w:color w:val="339966"/>
        </w:rPr>
        <w:t>The money retained and sent to IRD by the departments will be applied in settlement of the profits tax liability of the non-resident consultants. Notice(s) of assessment and notification(s) of the settlement of tax liabilities will be sent by IRD to the non-residents direct.</w:t>
      </w:r>
    </w:p>
    <w:p w:rsidR="00C402B5" w:rsidRPr="00A90D5D" w:rsidRDefault="00C402B5">
      <w:pPr>
        <w:ind w:left="720"/>
        <w:jc w:val="both"/>
        <w:rPr>
          <w:color w:val="339966"/>
        </w:rPr>
      </w:pPr>
    </w:p>
    <w:p w:rsidR="00C402B5" w:rsidRPr="00A90D5D" w:rsidRDefault="00C402B5" w:rsidP="00C402B5">
      <w:pPr>
        <w:numPr>
          <w:ilvl w:val="0"/>
          <w:numId w:val="2"/>
        </w:numPr>
        <w:jc w:val="both"/>
        <w:rPr>
          <w:b/>
          <w:color w:val="339966"/>
        </w:rPr>
      </w:pPr>
      <w:r w:rsidRPr="00A90D5D">
        <w:rPr>
          <w:b/>
          <w:color w:val="339966"/>
        </w:rPr>
        <w:t>Further enquiry</w:t>
      </w:r>
    </w:p>
    <w:p w:rsidR="00C402B5" w:rsidRPr="00A90D5D" w:rsidRDefault="00C402B5">
      <w:pPr>
        <w:jc w:val="both"/>
        <w:rPr>
          <w:color w:val="339966"/>
        </w:rPr>
      </w:pPr>
    </w:p>
    <w:p w:rsidR="00C402B5" w:rsidRPr="00A90D5D" w:rsidRDefault="00C402B5">
      <w:pPr>
        <w:ind w:left="720"/>
        <w:jc w:val="both"/>
        <w:rPr>
          <w:color w:val="339966"/>
        </w:rPr>
      </w:pPr>
      <w:r w:rsidRPr="00A90D5D">
        <w:rPr>
          <w:color w:val="339966"/>
        </w:rPr>
        <w:t>Enquiries should be made to the Assessors of Group A, Inland Revenue Department, Unit 2 at 2594 2061 or 2594 2276.</w:t>
      </w:r>
    </w:p>
    <w:p w:rsidR="00C402B5" w:rsidRPr="00A90D5D" w:rsidRDefault="00C402B5">
      <w:pPr>
        <w:jc w:val="both"/>
        <w:rPr>
          <w:color w:val="339966"/>
        </w:rPr>
      </w:pPr>
    </w:p>
    <w:p w:rsidR="00C402B5" w:rsidRPr="00A90D5D" w:rsidRDefault="00C402B5">
      <w:pPr>
        <w:ind w:rightChars="-225" w:right="-540"/>
        <w:jc w:val="right"/>
        <w:rPr>
          <w:b/>
          <w:color w:val="339966"/>
        </w:rPr>
      </w:pPr>
      <w:r w:rsidRPr="00A90D5D">
        <w:rPr>
          <w:b/>
          <w:bCs/>
          <w:color w:val="339966"/>
        </w:rPr>
        <w:br w:type="page"/>
      </w:r>
      <w:r w:rsidRPr="00A90D5D">
        <w:rPr>
          <w:b/>
          <w:color w:val="339966"/>
        </w:rPr>
        <w:t>Attachment to Annex A of Appendix 4.15</w:t>
      </w:r>
    </w:p>
    <w:p w:rsidR="00C402B5" w:rsidRPr="00A90D5D" w:rsidRDefault="00C402B5">
      <w:pPr>
        <w:jc w:val="both"/>
        <w:rPr>
          <w:b/>
          <w:bCs/>
          <w:color w:val="339966"/>
        </w:rPr>
      </w:pPr>
    </w:p>
    <w:p w:rsidR="00C402B5" w:rsidRPr="00A90D5D" w:rsidRDefault="008827E6">
      <w:pPr>
        <w:jc w:val="both"/>
        <w:rPr>
          <w:b/>
          <w:bCs/>
          <w:color w:val="339966"/>
        </w:rPr>
      </w:pPr>
      <w:r w:rsidRPr="000D39F5">
        <w:rPr>
          <w:noProof/>
          <w:color w:val="339966"/>
          <w:lang w:val="en-US"/>
        </w:rPr>
        <mc:AlternateContent>
          <mc:Choice Requires="wps">
            <w:drawing>
              <wp:anchor distT="0" distB="0" distL="114300" distR="114300" simplePos="0" relativeHeight="251657728" behindDoc="0" locked="0" layoutInCell="1" allowOverlap="1" wp14:editId="3F44CAAF">
                <wp:simplePos x="0" y="0"/>
                <wp:positionH relativeFrom="column">
                  <wp:posOffset>5486400</wp:posOffset>
                </wp:positionH>
                <wp:positionV relativeFrom="paragraph">
                  <wp:posOffset>5080</wp:posOffset>
                </wp:positionV>
                <wp:extent cx="457835" cy="457835"/>
                <wp:effectExtent l="9525" t="13335" r="8890" b="14605"/>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835" cy="457835"/>
                        </a:xfrm>
                        <a:prstGeom prst="ellipse">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3455B00" id="Oval 2" o:spid="_x0000_s1026" style="position:absolute;margin-left:6in;margin-top:.4pt;width:36.05pt;height:36.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" filled="f" strokeweight="1pt"/>
            </w:pict>
          </mc:Fallback>
        </mc:AlternateContent>
      </w:r>
    </w:p>
    <w:p w:rsidR="00C402B5" w:rsidRPr="00A90D5D" w:rsidRDefault="00C402B5">
      <w:pPr>
        <w:ind w:left="-720" w:right="-1246"/>
        <w:rPr>
          <w:b/>
          <w:i/>
          <w:color w:val="339966"/>
        </w:rPr>
      </w:pPr>
      <w:r w:rsidRPr="00A90D5D">
        <w:rPr>
          <w:b/>
          <w:color w:val="339966"/>
        </w:rPr>
        <w:tab/>
      </w:r>
      <w:r w:rsidRPr="00A90D5D">
        <w:rPr>
          <w:b/>
          <w:i/>
          <w:color w:val="339966"/>
        </w:rPr>
        <w:tab/>
      </w:r>
      <w:r w:rsidRPr="00A90D5D">
        <w:rPr>
          <w:b/>
          <w:i/>
          <w:color w:val="339966"/>
        </w:rPr>
        <w:tab/>
      </w:r>
      <w:r w:rsidRPr="00A90D5D">
        <w:rPr>
          <w:b/>
          <w:i/>
          <w:color w:val="339966"/>
        </w:rPr>
        <w:tab/>
      </w:r>
      <w:r w:rsidRPr="00A90D5D">
        <w:rPr>
          <w:b/>
          <w:i/>
          <w:color w:val="339966"/>
        </w:rPr>
        <w:tab/>
      </w:r>
      <w:r w:rsidRPr="00A90D5D">
        <w:rPr>
          <w:b/>
          <w:i/>
          <w:color w:val="339966"/>
        </w:rPr>
        <w:tab/>
      </w:r>
      <w:r w:rsidRPr="00A90D5D">
        <w:rPr>
          <w:b/>
          <w:i/>
          <w:color w:val="339966"/>
        </w:rPr>
        <w:tab/>
      </w:r>
      <w:r w:rsidRPr="00A90D5D">
        <w:rPr>
          <w:b/>
          <w:i/>
          <w:color w:val="339966"/>
        </w:rPr>
        <w:tab/>
      </w:r>
      <w:r w:rsidRPr="00A90D5D">
        <w:rPr>
          <w:b/>
          <w:i/>
          <w:color w:val="339966"/>
        </w:rPr>
        <w:tab/>
      </w:r>
      <w:r w:rsidRPr="00A90D5D">
        <w:rPr>
          <w:b/>
          <w:i/>
          <w:color w:val="339966"/>
        </w:rPr>
        <w:tab/>
      </w:r>
      <w:r w:rsidRPr="00A90D5D">
        <w:rPr>
          <w:b/>
          <w:i/>
          <w:color w:val="339966"/>
        </w:rPr>
        <w:tab/>
      </w:r>
    </w:p>
    <w:p w:rsidR="00C402B5" w:rsidRPr="00A90D5D" w:rsidRDefault="00C402B5">
      <w:pPr>
        <w:pStyle w:val="1"/>
        <w:rPr>
          <w:color w:val="339966"/>
        </w:rPr>
      </w:pPr>
      <w:r w:rsidRPr="00A90D5D">
        <w:rPr>
          <w:color w:val="339966"/>
        </w:rPr>
        <w:tab/>
        <w:t>M E M O</w:t>
      </w:r>
    </w:p>
    <w:tbl>
      <w:tblPr>
        <w:tblW w:w="10440" w:type="dxa"/>
        <w:tblInd w:w="-612" w:type="dxa"/>
        <w:tblLayout w:type="fixed"/>
        <w:tblLook w:val="0000" w:firstRow="0" w:lastRow="0" w:firstColumn="0" w:lastColumn="0" w:noHBand="0" w:noVBand="0"/>
      </w:tblPr>
      <w:tblGrid>
        <w:gridCol w:w="1188"/>
        <w:gridCol w:w="450"/>
        <w:gridCol w:w="150"/>
        <w:gridCol w:w="245"/>
        <w:gridCol w:w="355"/>
        <w:gridCol w:w="2370"/>
        <w:gridCol w:w="203"/>
        <w:gridCol w:w="286"/>
        <w:gridCol w:w="296"/>
        <w:gridCol w:w="193"/>
        <w:gridCol w:w="295"/>
        <w:gridCol w:w="46"/>
        <w:gridCol w:w="270"/>
        <w:gridCol w:w="133"/>
        <w:gridCol w:w="150"/>
        <w:gridCol w:w="78"/>
        <w:gridCol w:w="312"/>
        <w:gridCol w:w="36"/>
        <w:gridCol w:w="343"/>
        <w:gridCol w:w="509"/>
        <w:gridCol w:w="236"/>
        <w:gridCol w:w="317"/>
        <w:gridCol w:w="236"/>
        <w:gridCol w:w="1383"/>
        <w:gridCol w:w="110"/>
        <w:gridCol w:w="31"/>
        <w:gridCol w:w="10"/>
        <w:gridCol w:w="141"/>
        <w:gridCol w:w="68"/>
      </w:tblGrid>
      <w:tr w:rsidR="00A90D5D" w:rsidRPr="00A90D5D">
        <w:trPr>
          <w:gridBefore w:val="6"/>
          <w:gridAfter w:val="2"/>
          <w:wBefore w:w="4758" w:type="dxa"/>
          <w:wAfter w:w="209" w:type="dxa"/>
          <w:cantSplit/>
          <w:trHeight w:hRule="exact" w:val="360"/>
        </w:trPr>
        <w:tc>
          <w:tcPr>
            <w:tcW w:w="489" w:type="dxa"/>
            <w:gridSpan w:val="2"/>
            <w:tcBorders>
              <w:top w:val="single" w:sz="18" w:space="0" w:color="auto"/>
              <w:right w:val="single" w:sz="12" w:space="0" w:color="auto"/>
            </w:tcBorders>
          </w:tcPr>
          <w:p w:rsidR="00C402B5" w:rsidRPr="00A90D5D" w:rsidRDefault="00C402B5">
            <w:pPr>
              <w:jc w:val="center"/>
              <w:rPr>
                <w:b/>
                <w:color w:val="339966"/>
                <w:u w:val="single"/>
              </w:rPr>
            </w:pPr>
          </w:p>
        </w:tc>
        <w:tc>
          <w:tcPr>
            <w:tcW w:w="489" w:type="dxa"/>
            <w:gridSpan w:val="2"/>
            <w:tcBorders>
              <w:top w:val="single" w:sz="18" w:space="0" w:color="auto"/>
            </w:tcBorders>
          </w:tcPr>
          <w:p w:rsidR="00C402B5" w:rsidRPr="00A90D5D" w:rsidRDefault="00C402B5">
            <w:pPr>
              <w:jc w:val="center"/>
              <w:rPr>
                <w:b/>
                <w:color w:val="339966"/>
                <w:u w:val="single"/>
              </w:rPr>
            </w:pPr>
          </w:p>
        </w:tc>
        <w:tc>
          <w:tcPr>
            <w:tcW w:w="4495" w:type="dxa"/>
            <w:gridSpan w:val="17"/>
          </w:tcPr>
          <w:p w:rsidR="00C402B5" w:rsidRPr="00A90D5D" w:rsidRDefault="00C402B5">
            <w:pPr>
              <w:tabs>
                <w:tab w:val="right" w:pos="3240"/>
              </w:tabs>
              <w:rPr>
                <w:b/>
                <w:color w:val="339966"/>
                <w:u w:val="single"/>
              </w:rPr>
            </w:pPr>
          </w:p>
        </w:tc>
      </w:tr>
      <w:tr w:rsidR="00A90D5D" w:rsidRPr="00A90D5D">
        <w:trPr>
          <w:gridAfter w:val="1"/>
          <w:wAfter w:w="68" w:type="dxa"/>
          <w:cantSplit/>
          <w:trHeight w:hRule="exact" w:val="592"/>
        </w:trPr>
        <w:tc>
          <w:tcPr>
            <w:tcW w:w="1188" w:type="dxa"/>
          </w:tcPr>
          <w:p w:rsidR="00C402B5" w:rsidRPr="00A90D5D" w:rsidRDefault="00C402B5">
            <w:pPr>
              <w:spacing w:before="240" w:line="240" w:lineRule="atLeast"/>
              <w:rPr>
                <w:b/>
                <w:color w:val="339966"/>
                <w:u w:val="single"/>
              </w:rPr>
            </w:pPr>
            <w:r w:rsidRPr="00A90D5D">
              <w:rPr>
                <w:b/>
                <w:i/>
                <w:color w:val="339966"/>
              </w:rPr>
              <w:t>From</w:t>
            </w:r>
          </w:p>
        </w:tc>
        <w:tc>
          <w:tcPr>
            <w:tcW w:w="3773" w:type="dxa"/>
            <w:gridSpan w:val="6"/>
            <w:tcBorders>
              <w:bottom w:val="single" w:sz="6" w:space="0" w:color="auto"/>
            </w:tcBorders>
          </w:tcPr>
          <w:p w:rsidR="00C402B5" w:rsidRPr="00A90D5D" w:rsidRDefault="00C402B5">
            <w:pPr>
              <w:tabs>
                <w:tab w:val="left" w:pos="990"/>
              </w:tabs>
              <w:spacing w:line="240" w:lineRule="atLeast"/>
              <w:rPr>
                <w:color w:val="339966"/>
                <w:lang w:val="en-US"/>
              </w:rPr>
            </w:pPr>
          </w:p>
        </w:tc>
        <w:tc>
          <w:tcPr>
            <w:tcW w:w="286" w:type="dxa"/>
            <w:tcBorders>
              <w:right w:val="single" w:sz="12" w:space="0" w:color="auto"/>
            </w:tcBorders>
          </w:tcPr>
          <w:p w:rsidR="00C402B5" w:rsidRPr="00A90D5D" w:rsidRDefault="00C402B5">
            <w:pPr>
              <w:spacing w:before="216" w:line="240" w:lineRule="atLeast"/>
              <w:rPr>
                <w:color w:val="339966"/>
              </w:rPr>
            </w:pPr>
          </w:p>
        </w:tc>
        <w:tc>
          <w:tcPr>
            <w:tcW w:w="296" w:type="dxa"/>
          </w:tcPr>
          <w:p w:rsidR="00C402B5" w:rsidRPr="00A90D5D" w:rsidRDefault="00C402B5">
            <w:pPr>
              <w:spacing w:before="216" w:line="240" w:lineRule="atLeast"/>
              <w:rPr>
                <w:b/>
                <w:i/>
                <w:color w:val="339966"/>
              </w:rPr>
            </w:pPr>
          </w:p>
        </w:tc>
        <w:tc>
          <w:tcPr>
            <w:tcW w:w="534" w:type="dxa"/>
            <w:gridSpan w:val="3"/>
          </w:tcPr>
          <w:p w:rsidR="00C402B5" w:rsidRPr="00A90D5D" w:rsidRDefault="00C402B5">
            <w:pPr>
              <w:pStyle w:val="3"/>
              <w:spacing w:before="156" w:line="240" w:lineRule="atLeast"/>
              <w:rPr>
                <w:color w:val="339966"/>
                <w:u w:val="single"/>
              </w:rPr>
            </w:pPr>
            <w:r w:rsidRPr="00A90D5D">
              <w:rPr>
                <w:color w:val="339966"/>
              </w:rPr>
              <w:t>To</w:t>
            </w:r>
          </w:p>
        </w:tc>
        <w:tc>
          <w:tcPr>
            <w:tcW w:w="4003" w:type="dxa"/>
            <w:gridSpan w:val="12"/>
            <w:tcBorders>
              <w:bottom w:val="single" w:sz="4" w:space="0" w:color="auto"/>
            </w:tcBorders>
          </w:tcPr>
          <w:p w:rsidR="00C402B5" w:rsidRPr="00A90D5D" w:rsidRDefault="00C402B5">
            <w:pPr>
              <w:tabs>
                <w:tab w:val="left" w:pos="990"/>
              </w:tabs>
              <w:spacing w:before="156" w:line="240" w:lineRule="atLeast"/>
              <w:rPr>
                <w:b/>
                <w:color w:val="339966"/>
                <w:lang w:val="en-US"/>
              </w:rPr>
            </w:pPr>
          </w:p>
          <w:p w:rsidR="00C402B5" w:rsidRPr="00A90D5D" w:rsidRDefault="00C402B5">
            <w:pPr>
              <w:tabs>
                <w:tab w:val="left" w:pos="1260"/>
              </w:tabs>
              <w:spacing w:before="156" w:line="240" w:lineRule="atLeast"/>
              <w:ind w:left="86" w:right="-130"/>
              <w:rPr>
                <w:b/>
                <w:color w:val="339966"/>
                <w:lang w:val="en-US"/>
              </w:rPr>
            </w:pPr>
          </w:p>
        </w:tc>
        <w:tc>
          <w:tcPr>
            <w:tcW w:w="292" w:type="dxa"/>
            <w:gridSpan w:val="4"/>
            <w:tcBorders>
              <w:bottom w:val="single" w:sz="4" w:space="0" w:color="auto"/>
            </w:tcBorders>
          </w:tcPr>
          <w:p w:rsidR="00C402B5" w:rsidRPr="00A90D5D" w:rsidRDefault="00C402B5">
            <w:pPr>
              <w:tabs>
                <w:tab w:val="left" w:pos="1260"/>
              </w:tabs>
              <w:spacing w:line="240" w:lineRule="atLeast"/>
              <w:ind w:left="86" w:right="-130"/>
              <w:rPr>
                <w:color w:val="339966"/>
              </w:rPr>
            </w:pPr>
          </w:p>
        </w:tc>
      </w:tr>
      <w:tr w:rsidR="00A90D5D" w:rsidRPr="00A90D5D">
        <w:trPr>
          <w:cantSplit/>
          <w:trHeight w:val="408"/>
        </w:trPr>
        <w:tc>
          <w:tcPr>
            <w:tcW w:w="1188" w:type="dxa"/>
          </w:tcPr>
          <w:p w:rsidR="00C402B5" w:rsidRPr="00A90D5D" w:rsidRDefault="00C402B5">
            <w:pPr>
              <w:spacing w:before="156" w:line="240" w:lineRule="atLeast"/>
              <w:rPr>
                <w:b/>
                <w:color w:val="339966"/>
                <w:u w:val="single"/>
              </w:rPr>
            </w:pPr>
            <w:r w:rsidRPr="00A90D5D">
              <w:rPr>
                <w:b/>
                <w:i/>
                <w:color w:val="339966"/>
              </w:rPr>
              <w:t>Ref.</w:t>
            </w:r>
          </w:p>
        </w:tc>
        <w:tc>
          <w:tcPr>
            <w:tcW w:w="600" w:type="dxa"/>
            <w:gridSpan w:val="2"/>
            <w:tcBorders>
              <w:bottom w:val="single" w:sz="6" w:space="0" w:color="auto"/>
            </w:tcBorders>
          </w:tcPr>
          <w:p w:rsidR="00C402B5" w:rsidRPr="00A90D5D" w:rsidRDefault="00C402B5">
            <w:pPr>
              <w:spacing w:before="144" w:line="240" w:lineRule="atLeast"/>
              <w:ind w:right="-86"/>
              <w:rPr>
                <w:color w:val="339966"/>
                <w:lang w:val="en-US"/>
              </w:rPr>
            </w:pPr>
            <w:r w:rsidRPr="00A90D5D">
              <w:rPr>
                <w:color w:val="339966"/>
                <w:lang w:val="en-US"/>
              </w:rPr>
              <w:t>( )</w:t>
            </w:r>
          </w:p>
        </w:tc>
        <w:tc>
          <w:tcPr>
            <w:tcW w:w="600" w:type="dxa"/>
            <w:gridSpan w:val="2"/>
          </w:tcPr>
          <w:p w:rsidR="00C402B5" w:rsidRPr="00A90D5D" w:rsidRDefault="00C402B5">
            <w:pPr>
              <w:spacing w:before="156" w:line="240" w:lineRule="atLeast"/>
              <w:rPr>
                <w:b/>
                <w:color w:val="339966"/>
                <w:u w:val="single"/>
              </w:rPr>
            </w:pPr>
            <w:r w:rsidRPr="00A90D5D">
              <w:rPr>
                <w:b/>
                <w:i/>
                <w:color w:val="339966"/>
              </w:rPr>
              <w:t>in</w:t>
            </w:r>
          </w:p>
        </w:tc>
        <w:tc>
          <w:tcPr>
            <w:tcW w:w="2573" w:type="dxa"/>
            <w:gridSpan w:val="2"/>
            <w:tcBorders>
              <w:bottom w:val="single" w:sz="6" w:space="0" w:color="auto"/>
            </w:tcBorders>
          </w:tcPr>
          <w:p w:rsidR="00C402B5" w:rsidRPr="00A90D5D" w:rsidRDefault="00C402B5">
            <w:pPr>
              <w:spacing w:before="144" w:line="240" w:lineRule="atLeast"/>
              <w:rPr>
                <w:color w:val="339966"/>
                <w:lang w:val="en-US"/>
              </w:rPr>
            </w:pPr>
          </w:p>
        </w:tc>
        <w:tc>
          <w:tcPr>
            <w:tcW w:w="286" w:type="dxa"/>
            <w:tcBorders>
              <w:right w:val="single" w:sz="12" w:space="0" w:color="auto"/>
            </w:tcBorders>
          </w:tcPr>
          <w:p w:rsidR="00C402B5" w:rsidRPr="00A90D5D" w:rsidRDefault="00C402B5">
            <w:pPr>
              <w:spacing w:line="240" w:lineRule="atLeast"/>
              <w:rPr>
                <w:color w:val="339966"/>
              </w:rPr>
            </w:pPr>
          </w:p>
        </w:tc>
        <w:tc>
          <w:tcPr>
            <w:tcW w:w="296" w:type="dxa"/>
            <w:tcBorders>
              <w:left w:val="single" w:sz="12" w:space="0" w:color="auto"/>
            </w:tcBorders>
          </w:tcPr>
          <w:p w:rsidR="00C402B5" w:rsidRPr="00A90D5D" w:rsidRDefault="00C402B5">
            <w:pPr>
              <w:spacing w:line="240" w:lineRule="atLeast"/>
              <w:rPr>
                <w:color w:val="339966"/>
              </w:rPr>
            </w:pPr>
          </w:p>
        </w:tc>
        <w:tc>
          <w:tcPr>
            <w:tcW w:w="937" w:type="dxa"/>
            <w:gridSpan w:val="5"/>
          </w:tcPr>
          <w:p w:rsidR="00C402B5" w:rsidRPr="00A90D5D" w:rsidRDefault="00C402B5">
            <w:pPr>
              <w:spacing w:before="156" w:line="240" w:lineRule="atLeast"/>
              <w:rPr>
                <w:b/>
                <w:color w:val="339966"/>
                <w:u w:val="single"/>
              </w:rPr>
            </w:pPr>
            <w:r w:rsidRPr="00A90D5D">
              <w:rPr>
                <w:b/>
                <w:i/>
                <w:color w:val="339966"/>
              </w:rPr>
              <w:t xml:space="preserve">(Attn:  </w:t>
            </w:r>
          </w:p>
        </w:tc>
        <w:tc>
          <w:tcPr>
            <w:tcW w:w="3600" w:type="dxa"/>
            <w:gridSpan w:val="10"/>
            <w:tcBorders>
              <w:bottom w:val="single" w:sz="6" w:space="0" w:color="auto"/>
            </w:tcBorders>
          </w:tcPr>
          <w:p w:rsidR="00C402B5" w:rsidRPr="00A90D5D" w:rsidRDefault="00C402B5">
            <w:pPr>
              <w:spacing w:before="156" w:line="240" w:lineRule="atLeast"/>
              <w:rPr>
                <w:b/>
                <w:color w:val="339966"/>
                <w:lang w:val="en-US"/>
              </w:rPr>
            </w:pPr>
          </w:p>
        </w:tc>
        <w:tc>
          <w:tcPr>
            <w:tcW w:w="360" w:type="dxa"/>
            <w:gridSpan w:val="5"/>
          </w:tcPr>
          <w:p w:rsidR="00C402B5" w:rsidRPr="00A90D5D" w:rsidRDefault="00C402B5">
            <w:pPr>
              <w:spacing w:before="156" w:line="240" w:lineRule="atLeast"/>
              <w:jc w:val="right"/>
              <w:rPr>
                <w:b/>
                <w:color w:val="339966"/>
                <w:u w:val="single"/>
              </w:rPr>
            </w:pPr>
            <w:r w:rsidRPr="00A90D5D">
              <w:rPr>
                <w:b/>
                <w:i/>
                <w:color w:val="339966"/>
              </w:rPr>
              <w:t>)</w:t>
            </w:r>
          </w:p>
        </w:tc>
      </w:tr>
      <w:tr w:rsidR="00A90D5D" w:rsidRPr="00A90D5D">
        <w:trPr>
          <w:gridAfter w:val="1"/>
          <w:wAfter w:w="68" w:type="dxa"/>
          <w:cantSplit/>
          <w:trHeight w:val="408"/>
        </w:trPr>
        <w:tc>
          <w:tcPr>
            <w:tcW w:w="1188" w:type="dxa"/>
          </w:tcPr>
          <w:p w:rsidR="00C402B5" w:rsidRPr="00A90D5D" w:rsidRDefault="00C402B5">
            <w:pPr>
              <w:spacing w:before="156" w:line="240" w:lineRule="atLeast"/>
              <w:rPr>
                <w:b/>
                <w:color w:val="339966"/>
                <w:u w:val="single"/>
              </w:rPr>
            </w:pPr>
            <w:r w:rsidRPr="00A90D5D">
              <w:rPr>
                <w:b/>
                <w:i/>
                <w:color w:val="339966"/>
              </w:rPr>
              <w:t>Tel. No.</w:t>
            </w:r>
          </w:p>
        </w:tc>
        <w:tc>
          <w:tcPr>
            <w:tcW w:w="3773" w:type="dxa"/>
            <w:gridSpan w:val="6"/>
            <w:tcBorders>
              <w:bottom w:val="single" w:sz="6" w:space="0" w:color="auto"/>
            </w:tcBorders>
          </w:tcPr>
          <w:p w:rsidR="00C402B5" w:rsidRPr="00A90D5D" w:rsidRDefault="00C402B5">
            <w:pPr>
              <w:spacing w:before="144" w:line="240" w:lineRule="atLeast"/>
              <w:ind w:left="990"/>
              <w:rPr>
                <w:color w:val="339966"/>
              </w:rPr>
            </w:pPr>
          </w:p>
        </w:tc>
        <w:tc>
          <w:tcPr>
            <w:tcW w:w="286" w:type="dxa"/>
            <w:tcBorders>
              <w:right w:val="single" w:sz="12" w:space="0" w:color="auto"/>
            </w:tcBorders>
          </w:tcPr>
          <w:p w:rsidR="00C402B5" w:rsidRPr="00A90D5D" w:rsidRDefault="00C402B5">
            <w:pPr>
              <w:spacing w:line="240" w:lineRule="atLeast"/>
              <w:ind w:right="130"/>
              <w:rPr>
                <w:color w:val="339966"/>
              </w:rPr>
            </w:pPr>
          </w:p>
        </w:tc>
        <w:tc>
          <w:tcPr>
            <w:tcW w:w="296" w:type="dxa"/>
          </w:tcPr>
          <w:p w:rsidR="00C402B5" w:rsidRPr="00A90D5D" w:rsidRDefault="00C402B5">
            <w:pPr>
              <w:spacing w:line="240" w:lineRule="atLeast"/>
              <w:rPr>
                <w:b/>
                <w:i/>
                <w:color w:val="339966"/>
              </w:rPr>
            </w:pPr>
          </w:p>
        </w:tc>
        <w:tc>
          <w:tcPr>
            <w:tcW w:w="1165" w:type="dxa"/>
            <w:gridSpan w:val="7"/>
          </w:tcPr>
          <w:p w:rsidR="00C402B5" w:rsidRPr="00A90D5D" w:rsidRDefault="00C402B5">
            <w:pPr>
              <w:spacing w:before="156" w:line="240" w:lineRule="atLeast"/>
              <w:rPr>
                <w:b/>
                <w:color w:val="339966"/>
                <w:u w:val="single"/>
              </w:rPr>
            </w:pPr>
            <w:r w:rsidRPr="00A90D5D">
              <w:rPr>
                <w:b/>
                <w:i/>
                <w:color w:val="339966"/>
              </w:rPr>
              <w:t>Your Ref.</w:t>
            </w:r>
          </w:p>
        </w:tc>
        <w:tc>
          <w:tcPr>
            <w:tcW w:w="691" w:type="dxa"/>
            <w:gridSpan w:val="3"/>
            <w:tcBorders>
              <w:bottom w:val="single" w:sz="6" w:space="0" w:color="auto"/>
            </w:tcBorders>
          </w:tcPr>
          <w:p w:rsidR="00C402B5" w:rsidRPr="00A90D5D" w:rsidRDefault="00C402B5">
            <w:pPr>
              <w:spacing w:before="156" w:line="240" w:lineRule="atLeast"/>
              <w:rPr>
                <w:b/>
                <w:color w:val="339966"/>
              </w:rPr>
            </w:pPr>
          </w:p>
        </w:tc>
        <w:tc>
          <w:tcPr>
            <w:tcW w:w="509" w:type="dxa"/>
          </w:tcPr>
          <w:p w:rsidR="00C402B5" w:rsidRPr="00A90D5D" w:rsidRDefault="00C402B5">
            <w:pPr>
              <w:spacing w:before="156" w:line="240" w:lineRule="atLeast"/>
              <w:rPr>
                <w:b/>
                <w:color w:val="339966"/>
                <w:u w:val="single"/>
              </w:rPr>
            </w:pPr>
            <w:r w:rsidRPr="00A90D5D">
              <w:rPr>
                <w:b/>
                <w:i/>
                <w:color w:val="339966"/>
              </w:rPr>
              <w:t>in</w:t>
            </w:r>
          </w:p>
        </w:tc>
        <w:tc>
          <w:tcPr>
            <w:tcW w:w="236" w:type="dxa"/>
            <w:tcBorders>
              <w:bottom w:val="single" w:sz="4" w:space="0" w:color="auto"/>
            </w:tcBorders>
          </w:tcPr>
          <w:p w:rsidR="00C402B5" w:rsidRPr="00A90D5D" w:rsidRDefault="00C402B5">
            <w:pPr>
              <w:spacing w:before="156" w:line="240" w:lineRule="atLeast"/>
              <w:rPr>
                <w:b/>
                <w:color w:val="339966"/>
                <w:lang w:val="en-US"/>
              </w:rPr>
            </w:pPr>
          </w:p>
        </w:tc>
        <w:tc>
          <w:tcPr>
            <w:tcW w:w="2228" w:type="dxa"/>
            <w:gridSpan w:val="7"/>
            <w:tcBorders>
              <w:bottom w:val="single" w:sz="4" w:space="0" w:color="auto"/>
            </w:tcBorders>
          </w:tcPr>
          <w:p w:rsidR="00C402B5" w:rsidRPr="00A90D5D" w:rsidRDefault="00C402B5">
            <w:pPr>
              <w:spacing w:before="144" w:line="240" w:lineRule="atLeast"/>
              <w:rPr>
                <w:color w:val="339966"/>
              </w:rPr>
            </w:pPr>
          </w:p>
        </w:tc>
      </w:tr>
      <w:tr w:rsidR="00A90D5D" w:rsidRPr="00A90D5D">
        <w:trPr>
          <w:gridAfter w:val="1"/>
          <w:wAfter w:w="68" w:type="dxa"/>
          <w:cantSplit/>
          <w:trHeight w:val="408"/>
        </w:trPr>
        <w:tc>
          <w:tcPr>
            <w:tcW w:w="1188" w:type="dxa"/>
          </w:tcPr>
          <w:p w:rsidR="00C402B5" w:rsidRPr="00A90D5D" w:rsidRDefault="00C402B5">
            <w:pPr>
              <w:spacing w:before="156" w:line="240" w:lineRule="atLeast"/>
              <w:rPr>
                <w:b/>
                <w:i/>
                <w:color w:val="339966"/>
              </w:rPr>
            </w:pPr>
            <w:r w:rsidRPr="00A90D5D">
              <w:rPr>
                <w:b/>
                <w:i/>
                <w:color w:val="339966"/>
              </w:rPr>
              <w:t>Fax No.</w:t>
            </w:r>
          </w:p>
        </w:tc>
        <w:tc>
          <w:tcPr>
            <w:tcW w:w="3773" w:type="dxa"/>
            <w:gridSpan w:val="6"/>
            <w:tcBorders>
              <w:top w:val="single" w:sz="6" w:space="0" w:color="auto"/>
              <w:bottom w:val="single" w:sz="6" w:space="0" w:color="auto"/>
            </w:tcBorders>
          </w:tcPr>
          <w:p w:rsidR="00C402B5" w:rsidRPr="00A90D5D" w:rsidRDefault="00C402B5">
            <w:pPr>
              <w:spacing w:before="144" w:line="240" w:lineRule="atLeast"/>
              <w:ind w:left="990"/>
              <w:rPr>
                <w:color w:val="339966"/>
              </w:rPr>
            </w:pPr>
          </w:p>
        </w:tc>
        <w:tc>
          <w:tcPr>
            <w:tcW w:w="286" w:type="dxa"/>
            <w:tcBorders>
              <w:right w:val="single" w:sz="12" w:space="0" w:color="auto"/>
            </w:tcBorders>
          </w:tcPr>
          <w:p w:rsidR="00C402B5" w:rsidRPr="00A90D5D" w:rsidRDefault="00C402B5">
            <w:pPr>
              <w:spacing w:line="240" w:lineRule="atLeast"/>
              <w:rPr>
                <w:color w:val="339966"/>
              </w:rPr>
            </w:pPr>
          </w:p>
        </w:tc>
        <w:tc>
          <w:tcPr>
            <w:tcW w:w="296" w:type="dxa"/>
          </w:tcPr>
          <w:p w:rsidR="00C402B5" w:rsidRPr="00A90D5D" w:rsidRDefault="00C402B5">
            <w:pPr>
              <w:spacing w:line="240" w:lineRule="atLeast"/>
              <w:rPr>
                <w:b/>
                <w:i/>
                <w:color w:val="339966"/>
              </w:rPr>
            </w:pPr>
          </w:p>
        </w:tc>
        <w:tc>
          <w:tcPr>
            <w:tcW w:w="804" w:type="dxa"/>
            <w:gridSpan w:val="4"/>
          </w:tcPr>
          <w:p w:rsidR="00C402B5" w:rsidRPr="00A90D5D" w:rsidRDefault="00C402B5">
            <w:pPr>
              <w:pStyle w:val="2"/>
              <w:spacing w:before="156" w:line="240" w:lineRule="atLeast"/>
              <w:rPr>
                <w:i/>
                <w:color w:val="339966"/>
                <w:sz w:val="24"/>
                <w:u w:val="none"/>
              </w:rPr>
            </w:pPr>
            <w:r w:rsidRPr="00A90D5D">
              <w:rPr>
                <w:i/>
                <w:color w:val="339966"/>
                <w:sz w:val="24"/>
                <w:u w:val="none"/>
              </w:rPr>
              <w:t>Dated</w:t>
            </w:r>
          </w:p>
        </w:tc>
        <w:tc>
          <w:tcPr>
            <w:tcW w:w="1052" w:type="dxa"/>
            <w:gridSpan w:val="6"/>
            <w:tcBorders>
              <w:bottom w:val="single" w:sz="6" w:space="0" w:color="auto"/>
            </w:tcBorders>
          </w:tcPr>
          <w:p w:rsidR="00C402B5" w:rsidRPr="00A90D5D" w:rsidRDefault="00C402B5">
            <w:pPr>
              <w:spacing w:before="156" w:line="240" w:lineRule="atLeast"/>
              <w:rPr>
                <w:b/>
                <w:color w:val="339966"/>
                <w:lang w:val="en-US"/>
              </w:rPr>
            </w:pPr>
          </w:p>
        </w:tc>
        <w:tc>
          <w:tcPr>
            <w:tcW w:w="1062" w:type="dxa"/>
            <w:gridSpan w:val="3"/>
          </w:tcPr>
          <w:p w:rsidR="00C402B5" w:rsidRPr="00A90D5D" w:rsidRDefault="00C402B5">
            <w:pPr>
              <w:spacing w:before="156" w:line="240" w:lineRule="atLeast"/>
              <w:rPr>
                <w:b/>
                <w:i/>
                <w:color w:val="339966"/>
              </w:rPr>
            </w:pPr>
            <w:r w:rsidRPr="00A90D5D">
              <w:rPr>
                <w:b/>
                <w:i/>
                <w:color w:val="339966"/>
              </w:rPr>
              <w:t>Fax No.</w:t>
            </w:r>
          </w:p>
        </w:tc>
        <w:tc>
          <w:tcPr>
            <w:tcW w:w="236" w:type="dxa"/>
            <w:tcBorders>
              <w:bottom w:val="single" w:sz="4" w:space="0" w:color="auto"/>
            </w:tcBorders>
          </w:tcPr>
          <w:p w:rsidR="00C402B5" w:rsidRPr="00A90D5D" w:rsidRDefault="00C402B5">
            <w:pPr>
              <w:spacing w:before="156" w:line="240" w:lineRule="atLeast"/>
              <w:rPr>
                <w:b/>
                <w:color w:val="339966"/>
                <w:lang w:val="en-US"/>
              </w:rPr>
            </w:pPr>
          </w:p>
        </w:tc>
        <w:tc>
          <w:tcPr>
            <w:tcW w:w="1675" w:type="dxa"/>
            <w:gridSpan w:val="5"/>
            <w:tcBorders>
              <w:bottom w:val="single" w:sz="4" w:space="0" w:color="auto"/>
            </w:tcBorders>
          </w:tcPr>
          <w:p w:rsidR="00C402B5" w:rsidRPr="00A90D5D" w:rsidRDefault="00C402B5">
            <w:pPr>
              <w:spacing w:before="144" w:line="240" w:lineRule="atLeast"/>
              <w:rPr>
                <w:color w:val="339966"/>
              </w:rPr>
            </w:pPr>
          </w:p>
        </w:tc>
      </w:tr>
      <w:tr w:rsidR="00A90D5D" w:rsidRPr="00A90D5D">
        <w:trPr>
          <w:gridAfter w:val="1"/>
          <w:wAfter w:w="68" w:type="dxa"/>
          <w:cantSplit/>
          <w:trHeight w:val="675"/>
        </w:trPr>
        <w:tc>
          <w:tcPr>
            <w:tcW w:w="1188" w:type="dxa"/>
          </w:tcPr>
          <w:p w:rsidR="00C402B5" w:rsidRPr="00A90D5D" w:rsidRDefault="00C402B5">
            <w:pPr>
              <w:spacing w:before="156" w:line="240" w:lineRule="atLeast"/>
              <w:rPr>
                <w:b/>
                <w:color w:val="339966"/>
                <w:u w:val="single"/>
              </w:rPr>
            </w:pPr>
            <w:r w:rsidRPr="00A90D5D">
              <w:rPr>
                <w:b/>
                <w:i/>
                <w:color w:val="339966"/>
              </w:rPr>
              <w:t>Date</w:t>
            </w:r>
          </w:p>
        </w:tc>
        <w:tc>
          <w:tcPr>
            <w:tcW w:w="3773" w:type="dxa"/>
            <w:gridSpan w:val="6"/>
            <w:tcBorders>
              <w:top w:val="single" w:sz="6" w:space="0" w:color="auto"/>
              <w:bottom w:val="single" w:sz="6" w:space="0" w:color="auto"/>
            </w:tcBorders>
          </w:tcPr>
          <w:p w:rsidR="00C402B5" w:rsidRPr="00A90D5D" w:rsidRDefault="00C402B5">
            <w:pPr>
              <w:spacing w:before="144" w:line="240" w:lineRule="atLeast"/>
              <w:ind w:left="990"/>
              <w:rPr>
                <w:color w:val="339966"/>
                <w:lang w:val="en-US"/>
              </w:rPr>
            </w:pPr>
          </w:p>
        </w:tc>
        <w:tc>
          <w:tcPr>
            <w:tcW w:w="286" w:type="dxa"/>
            <w:tcBorders>
              <w:right w:val="single" w:sz="12" w:space="0" w:color="auto"/>
            </w:tcBorders>
          </w:tcPr>
          <w:p w:rsidR="00C402B5" w:rsidRPr="00A90D5D" w:rsidRDefault="00C402B5">
            <w:pPr>
              <w:spacing w:line="240" w:lineRule="atLeast"/>
              <w:rPr>
                <w:color w:val="339966"/>
              </w:rPr>
            </w:pPr>
          </w:p>
        </w:tc>
        <w:tc>
          <w:tcPr>
            <w:tcW w:w="296" w:type="dxa"/>
          </w:tcPr>
          <w:p w:rsidR="00C402B5" w:rsidRPr="00A90D5D" w:rsidRDefault="00C402B5">
            <w:pPr>
              <w:spacing w:line="240" w:lineRule="atLeast"/>
              <w:rPr>
                <w:b/>
                <w:i/>
                <w:color w:val="339966"/>
              </w:rPr>
            </w:pPr>
          </w:p>
        </w:tc>
        <w:tc>
          <w:tcPr>
            <w:tcW w:w="1477" w:type="dxa"/>
            <w:gridSpan w:val="8"/>
          </w:tcPr>
          <w:p w:rsidR="00C402B5" w:rsidRPr="00A90D5D" w:rsidRDefault="00C402B5">
            <w:pPr>
              <w:pStyle w:val="4"/>
              <w:spacing w:before="156" w:line="240" w:lineRule="atLeast"/>
              <w:rPr>
                <w:b/>
                <w:color w:val="339966"/>
                <w:sz w:val="24"/>
              </w:rPr>
            </w:pPr>
            <w:r w:rsidRPr="00A90D5D">
              <w:rPr>
                <w:b/>
                <w:color w:val="339966"/>
                <w:sz w:val="24"/>
              </w:rPr>
              <w:t>Total Pages</w:t>
            </w:r>
          </w:p>
        </w:tc>
        <w:tc>
          <w:tcPr>
            <w:tcW w:w="3060" w:type="dxa"/>
            <w:gridSpan w:val="7"/>
            <w:tcBorders>
              <w:bottom w:val="single" w:sz="6" w:space="0" w:color="auto"/>
            </w:tcBorders>
          </w:tcPr>
          <w:p w:rsidR="00C402B5" w:rsidRPr="00A90D5D" w:rsidRDefault="00C402B5">
            <w:pPr>
              <w:spacing w:before="156" w:line="240" w:lineRule="atLeast"/>
              <w:ind w:left="1260"/>
              <w:rPr>
                <w:b/>
                <w:color w:val="339966"/>
                <w:lang w:val="en-US"/>
              </w:rPr>
            </w:pPr>
          </w:p>
        </w:tc>
        <w:tc>
          <w:tcPr>
            <w:tcW w:w="292" w:type="dxa"/>
            <w:gridSpan w:val="4"/>
          </w:tcPr>
          <w:p w:rsidR="00C402B5" w:rsidRPr="00A90D5D" w:rsidRDefault="00C402B5">
            <w:pPr>
              <w:spacing w:before="144" w:line="240" w:lineRule="atLeast"/>
              <w:ind w:left="1260"/>
              <w:rPr>
                <w:color w:val="339966"/>
              </w:rPr>
            </w:pPr>
          </w:p>
        </w:tc>
      </w:tr>
      <w:tr w:rsidR="00A90D5D" w:rsidRPr="00A90D5D">
        <w:trPr>
          <w:gridAfter w:val="4"/>
          <w:wAfter w:w="250" w:type="dxa"/>
          <w:cantSplit/>
          <w:trHeight w:hRule="exact" w:val="24"/>
        </w:trPr>
        <w:tc>
          <w:tcPr>
            <w:tcW w:w="1188" w:type="dxa"/>
          </w:tcPr>
          <w:p w:rsidR="00C402B5" w:rsidRPr="00A90D5D" w:rsidRDefault="00C402B5">
            <w:pPr>
              <w:rPr>
                <w:b/>
                <w:i/>
                <w:color w:val="339966"/>
              </w:rPr>
            </w:pPr>
          </w:p>
        </w:tc>
        <w:tc>
          <w:tcPr>
            <w:tcW w:w="450" w:type="dxa"/>
          </w:tcPr>
          <w:p w:rsidR="00C402B5" w:rsidRPr="00A90D5D" w:rsidRDefault="00C402B5">
            <w:pPr>
              <w:rPr>
                <w:b/>
                <w:color w:val="339966"/>
                <w:u w:val="single"/>
              </w:rPr>
            </w:pPr>
          </w:p>
        </w:tc>
        <w:tc>
          <w:tcPr>
            <w:tcW w:w="395" w:type="dxa"/>
            <w:gridSpan w:val="2"/>
          </w:tcPr>
          <w:p w:rsidR="00C402B5" w:rsidRPr="00A90D5D" w:rsidRDefault="00C402B5">
            <w:pPr>
              <w:rPr>
                <w:b/>
                <w:color w:val="339966"/>
                <w:u w:val="single"/>
              </w:rPr>
            </w:pPr>
          </w:p>
        </w:tc>
        <w:tc>
          <w:tcPr>
            <w:tcW w:w="3214" w:type="dxa"/>
            <w:gridSpan w:val="4"/>
            <w:tcBorders>
              <w:right w:val="single" w:sz="12" w:space="0" w:color="auto"/>
            </w:tcBorders>
          </w:tcPr>
          <w:p w:rsidR="00C402B5" w:rsidRPr="00A90D5D" w:rsidRDefault="00C402B5">
            <w:pPr>
              <w:rPr>
                <w:b/>
                <w:color w:val="339966"/>
                <w:u w:val="single"/>
              </w:rPr>
            </w:pPr>
          </w:p>
        </w:tc>
        <w:tc>
          <w:tcPr>
            <w:tcW w:w="784" w:type="dxa"/>
            <w:gridSpan w:val="3"/>
            <w:tcBorders>
              <w:left w:val="single" w:sz="12" w:space="0" w:color="auto"/>
            </w:tcBorders>
          </w:tcPr>
          <w:p w:rsidR="00C402B5" w:rsidRPr="00A90D5D" w:rsidRDefault="00C402B5">
            <w:pPr>
              <w:rPr>
                <w:b/>
                <w:i/>
                <w:color w:val="339966"/>
              </w:rPr>
            </w:pPr>
          </w:p>
        </w:tc>
        <w:tc>
          <w:tcPr>
            <w:tcW w:w="599" w:type="dxa"/>
            <w:gridSpan w:val="4"/>
          </w:tcPr>
          <w:p w:rsidR="00C402B5" w:rsidRPr="00A90D5D" w:rsidRDefault="00C402B5">
            <w:pPr>
              <w:rPr>
                <w:b/>
                <w:color w:val="339966"/>
                <w:u w:val="single"/>
              </w:rPr>
            </w:pPr>
          </w:p>
        </w:tc>
        <w:tc>
          <w:tcPr>
            <w:tcW w:w="426" w:type="dxa"/>
            <w:gridSpan w:val="3"/>
          </w:tcPr>
          <w:p w:rsidR="00C402B5" w:rsidRPr="00A90D5D" w:rsidRDefault="00C402B5">
            <w:pPr>
              <w:rPr>
                <w:b/>
                <w:color w:val="339966"/>
                <w:u w:val="single"/>
              </w:rPr>
            </w:pPr>
          </w:p>
        </w:tc>
        <w:tc>
          <w:tcPr>
            <w:tcW w:w="3134" w:type="dxa"/>
            <w:gridSpan w:val="7"/>
          </w:tcPr>
          <w:p w:rsidR="00C402B5" w:rsidRPr="00A90D5D" w:rsidRDefault="00C402B5">
            <w:pPr>
              <w:rPr>
                <w:b/>
                <w:color w:val="339966"/>
                <w:u w:val="single"/>
              </w:rPr>
            </w:pPr>
          </w:p>
        </w:tc>
      </w:tr>
      <w:tr w:rsidR="00A90D5D" w:rsidRPr="00A90D5D">
        <w:trPr>
          <w:gridAfter w:val="4"/>
          <w:wAfter w:w="250" w:type="dxa"/>
          <w:cantSplit/>
          <w:trHeight w:hRule="exact" w:val="24"/>
        </w:trPr>
        <w:tc>
          <w:tcPr>
            <w:tcW w:w="1188" w:type="dxa"/>
            <w:tcBorders>
              <w:bottom w:val="single" w:sz="12" w:space="0" w:color="auto"/>
            </w:tcBorders>
          </w:tcPr>
          <w:p w:rsidR="00C402B5" w:rsidRPr="00A90D5D" w:rsidRDefault="00C402B5">
            <w:pPr>
              <w:rPr>
                <w:b/>
                <w:i/>
                <w:color w:val="339966"/>
              </w:rPr>
            </w:pPr>
          </w:p>
        </w:tc>
        <w:tc>
          <w:tcPr>
            <w:tcW w:w="450" w:type="dxa"/>
            <w:tcBorders>
              <w:bottom w:val="single" w:sz="12" w:space="0" w:color="auto"/>
            </w:tcBorders>
          </w:tcPr>
          <w:p w:rsidR="00C402B5" w:rsidRPr="00A90D5D" w:rsidRDefault="00C402B5">
            <w:pPr>
              <w:rPr>
                <w:b/>
                <w:color w:val="339966"/>
                <w:u w:val="single"/>
              </w:rPr>
            </w:pPr>
          </w:p>
        </w:tc>
        <w:tc>
          <w:tcPr>
            <w:tcW w:w="395" w:type="dxa"/>
            <w:gridSpan w:val="2"/>
            <w:tcBorders>
              <w:bottom w:val="single" w:sz="12" w:space="0" w:color="auto"/>
            </w:tcBorders>
          </w:tcPr>
          <w:p w:rsidR="00C402B5" w:rsidRPr="00A90D5D" w:rsidRDefault="00C402B5">
            <w:pPr>
              <w:rPr>
                <w:b/>
                <w:color w:val="339966"/>
                <w:u w:val="single"/>
              </w:rPr>
            </w:pPr>
          </w:p>
        </w:tc>
        <w:tc>
          <w:tcPr>
            <w:tcW w:w="3214" w:type="dxa"/>
            <w:gridSpan w:val="4"/>
            <w:tcBorders>
              <w:bottom w:val="single" w:sz="12" w:space="0" w:color="auto"/>
              <w:right w:val="single" w:sz="12" w:space="0" w:color="auto"/>
            </w:tcBorders>
          </w:tcPr>
          <w:p w:rsidR="00C402B5" w:rsidRPr="00A90D5D" w:rsidRDefault="00C402B5">
            <w:pPr>
              <w:rPr>
                <w:b/>
                <w:color w:val="339966"/>
                <w:u w:val="single"/>
              </w:rPr>
            </w:pPr>
          </w:p>
        </w:tc>
        <w:tc>
          <w:tcPr>
            <w:tcW w:w="784" w:type="dxa"/>
            <w:gridSpan w:val="3"/>
            <w:tcBorders>
              <w:left w:val="single" w:sz="12" w:space="0" w:color="auto"/>
              <w:bottom w:val="single" w:sz="12" w:space="0" w:color="auto"/>
            </w:tcBorders>
          </w:tcPr>
          <w:p w:rsidR="00C402B5" w:rsidRPr="00A90D5D" w:rsidRDefault="00C402B5">
            <w:pPr>
              <w:rPr>
                <w:b/>
                <w:i/>
                <w:color w:val="339966"/>
              </w:rPr>
            </w:pPr>
          </w:p>
        </w:tc>
        <w:tc>
          <w:tcPr>
            <w:tcW w:w="599" w:type="dxa"/>
            <w:gridSpan w:val="4"/>
            <w:tcBorders>
              <w:bottom w:val="single" w:sz="12" w:space="0" w:color="auto"/>
            </w:tcBorders>
          </w:tcPr>
          <w:p w:rsidR="00C402B5" w:rsidRPr="00A90D5D" w:rsidRDefault="00C402B5">
            <w:pPr>
              <w:rPr>
                <w:b/>
                <w:color w:val="339966"/>
                <w:u w:val="single"/>
              </w:rPr>
            </w:pPr>
          </w:p>
        </w:tc>
        <w:tc>
          <w:tcPr>
            <w:tcW w:w="426" w:type="dxa"/>
            <w:gridSpan w:val="3"/>
            <w:tcBorders>
              <w:bottom w:val="single" w:sz="12" w:space="0" w:color="auto"/>
            </w:tcBorders>
          </w:tcPr>
          <w:p w:rsidR="00C402B5" w:rsidRPr="00A90D5D" w:rsidRDefault="00C402B5">
            <w:pPr>
              <w:rPr>
                <w:b/>
                <w:color w:val="339966"/>
                <w:u w:val="single"/>
              </w:rPr>
            </w:pPr>
          </w:p>
        </w:tc>
        <w:tc>
          <w:tcPr>
            <w:tcW w:w="3134" w:type="dxa"/>
            <w:gridSpan w:val="7"/>
            <w:tcBorders>
              <w:bottom w:val="single" w:sz="12" w:space="0" w:color="auto"/>
            </w:tcBorders>
          </w:tcPr>
          <w:p w:rsidR="00C402B5" w:rsidRPr="00A90D5D" w:rsidRDefault="00C402B5">
            <w:pPr>
              <w:rPr>
                <w:b/>
                <w:color w:val="339966"/>
                <w:u w:val="single"/>
              </w:rPr>
            </w:pPr>
          </w:p>
        </w:tc>
      </w:tr>
      <w:tr w:rsidR="00A90D5D" w:rsidRPr="00A90D5D">
        <w:trPr>
          <w:gridAfter w:val="3"/>
          <w:wAfter w:w="219" w:type="dxa"/>
          <w:cantSplit/>
          <w:trHeight w:hRule="exact" w:val="24"/>
        </w:trPr>
        <w:tc>
          <w:tcPr>
            <w:tcW w:w="1188" w:type="dxa"/>
          </w:tcPr>
          <w:p w:rsidR="00C402B5" w:rsidRPr="00A90D5D" w:rsidRDefault="00C402B5">
            <w:pPr>
              <w:rPr>
                <w:b/>
                <w:i/>
                <w:color w:val="339966"/>
              </w:rPr>
            </w:pPr>
          </w:p>
        </w:tc>
        <w:tc>
          <w:tcPr>
            <w:tcW w:w="450" w:type="dxa"/>
          </w:tcPr>
          <w:p w:rsidR="00C402B5" w:rsidRPr="00A90D5D" w:rsidRDefault="00C402B5">
            <w:pPr>
              <w:rPr>
                <w:b/>
                <w:color w:val="339966"/>
                <w:u w:val="single"/>
              </w:rPr>
            </w:pPr>
          </w:p>
        </w:tc>
        <w:tc>
          <w:tcPr>
            <w:tcW w:w="395" w:type="dxa"/>
            <w:gridSpan w:val="2"/>
          </w:tcPr>
          <w:p w:rsidR="00C402B5" w:rsidRPr="00A90D5D" w:rsidRDefault="00C402B5">
            <w:pPr>
              <w:rPr>
                <w:b/>
                <w:color w:val="339966"/>
                <w:u w:val="single"/>
              </w:rPr>
            </w:pPr>
          </w:p>
        </w:tc>
        <w:tc>
          <w:tcPr>
            <w:tcW w:w="3214" w:type="dxa"/>
            <w:gridSpan w:val="4"/>
            <w:tcBorders>
              <w:right w:val="single" w:sz="12" w:space="0" w:color="auto"/>
            </w:tcBorders>
          </w:tcPr>
          <w:p w:rsidR="00C402B5" w:rsidRPr="00A90D5D" w:rsidRDefault="00C402B5">
            <w:pPr>
              <w:rPr>
                <w:b/>
                <w:color w:val="339966"/>
                <w:u w:val="single"/>
              </w:rPr>
            </w:pPr>
          </w:p>
        </w:tc>
        <w:tc>
          <w:tcPr>
            <w:tcW w:w="784" w:type="dxa"/>
            <w:gridSpan w:val="3"/>
            <w:tcBorders>
              <w:left w:val="single" w:sz="12" w:space="0" w:color="auto"/>
            </w:tcBorders>
          </w:tcPr>
          <w:p w:rsidR="00C402B5" w:rsidRPr="00A90D5D" w:rsidRDefault="00C402B5">
            <w:pPr>
              <w:rPr>
                <w:b/>
                <w:i/>
                <w:color w:val="339966"/>
              </w:rPr>
            </w:pPr>
          </w:p>
        </w:tc>
        <w:tc>
          <w:tcPr>
            <w:tcW w:w="599" w:type="dxa"/>
            <w:gridSpan w:val="4"/>
          </w:tcPr>
          <w:p w:rsidR="00C402B5" w:rsidRPr="00A90D5D" w:rsidRDefault="00C402B5">
            <w:pPr>
              <w:rPr>
                <w:b/>
                <w:color w:val="339966"/>
                <w:u w:val="single"/>
              </w:rPr>
            </w:pPr>
          </w:p>
        </w:tc>
        <w:tc>
          <w:tcPr>
            <w:tcW w:w="426" w:type="dxa"/>
            <w:gridSpan w:val="3"/>
          </w:tcPr>
          <w:p w:rsidR="00C402B5" w:rsidRPr="00A90D5D" w:rsidRDefault="00C402B5">
            <w:pPr>
              <w:rPr>
                <w:b/>
                <w:color w:val="339966"/>
                <w:u w:val="single"/>
              </w:rPr>
            </w:pPr>
          </w:p>
        </w:tc>
        <w:tc>
          <w:tcPr>
            <w:tcW w:w="3165" w:type="dxa"/>
            <w:gridSpan w:val="8"/>
          </w:tcPr>
          <w:p w:rsidR="00C402B5" w:rsidRPr="00A90D5D" w:rsidRDefault="00C402B5">
            <w:pPr>
              <w:rPr>
                <w:b/>
                <w:color w:val="339966"/>
                <w:u w:val="single"/>
              </w:rPr>
            </w:pPr>
          </w:p>
        </w:tc>
      </w:tr>
      <w:tr w:rsidR="00A90D5D" w:rsidRPr="00A90D5D">
        <w:trPr>
          <w:gridAfter w:val="3"/>
          <w:wAfter w:w="219" w:type="dxa"/>
          <w:cantSplit/>
          <w:trHeight w:hRule="exact" w:val="24"/>
        </w:trPr>
        <w:tc>
          <w:tcPr>
            <w:tcW w:w="1188" w:type="dxa"/>
            <w:tcBorders>
              <w:bottom w:val="single" w:sz="6" w:space="0" w:color="auto"/>
            </w:tcBorders>
          </w:tcPr>
          <w:p w:rsidR="00C402B5" w:rsidRPr="00A90D5D" w:rsidRDefault="00C402B5">
            <w:pPr>
              <w:rPr>
                <w:b/>
                <w:i/>
                <w:color w:val="339966"/>
              </w:rPr>
            </w:pPr>
          </w:p>
        </w:tc>
        <w:tc>
          <w:tcPr>
            <w:tcW w:w="450" w:type="dxa"/>
            <w:tcBorders>
              <w:bottom w:val="single" w:sz="6" w:space="0" w:color="auto"/>
            </w:tcBorders>
          </w:tcPr>
          <w:p w:rsidR="00C402B5" w:rsidRPr="00A90D5D" w:rsidRDefault="00C402B5">
            <w:pPr>
              <w:rPr>
                <w:b/>
                <w:color w:val="339966"/>
                <w:u w:val="single"/>
              </w:rPr>
            </w:pPr>
          </w:p>
        </w:tc>
        <w:tc>
          <w:tcPr>
            <w:tcW w:w="395" w:type="dxa"/>
            <w:gridSpan w:val="2"/>
            <w:tcBorders>
              <w:bottom w:val="single" w:sz="6" w:space="0" w:color="auto"/>
            </w:tcBorders>
          </w:tcPr>
          <w:p w:rsidR="00C402B5" w:rsidRPr="00A90D5D" w:rsidRDefault="00C402B5">
            <w:pPr>
              <w:rPr>
                <w:b/>
                <w:color w:val="339966"/>
                <w:u w:val="single"/>
              </w:rPr>
            </w:pPr>
          </w:p>
        </w:tc>
        <w:tc>
          <w:tcPr>
            <w:tcW w:w="3214" w:type="dxa"/>
            <w:gridSpan w:val="4"/>
            <w:tcBorders>
              <w:bottom w:val="single" w:sz="6" w:space="0" w:color="auto"/>
            </w:tcBorders>
          </w:tcPr>
          <w:p w:rsidR="00C402B5" w:rsidRPr="00A90D5D" w:rsidRDefault="00C402B5">
            <w:pPr>
              <w:rPr>
                <w:b/>
                <w:color w:val="339966"/>
                <w:u w:val="single"/>
              </w:rPr>
            </w:pPr>
          </w:p>
          <w:p w:rsidR="00C402B5" w:rsidRPr="00A90D5D" w:rsidRDefault="00C402B5">
            <w:pPr>
              <w:rPr>
                <w:b/>
                <w:color w:val="339966"/>
                <w:u w:val="single"/>
              </w:rPr>
            </w:pPr>
          </w:p>
          <w:p w:rsidR="00C402B5" w:rsidRPr="00A90D5D" w:rsidRDefault="00C402B5">
            <w:pPr>
              <w:rPr>
                <w:b/>
                <w:color w:val="339966"/>
                <w:u w:val="single"/>
              </w:rPr>
            </w:pPr>
          </w:p>
          <w:p w:rsidR="00C402B5" w:rsidRPr="00A90D5D" w:rsidRDefault="00C402B5">
            <w:pPr>
              <w:rPr>
                <w:b/>
                <w:color w:val="339966"/>
                <w:u w:val="single"/>
              </w:rPr>
            </w:pPr>
            <w:r w:rsidRPr="00A90D5D">
              <w:rPr>
                <w:b/>
                <w:color w:val="339966"/>
                <w:u w:val="single"/>
              </w:rPr>
              <w:t>Fea</w:t>
            </w:r>
          </w:p>
          <w:p w:rsidR="00C402B5" w:rsidRPr="00A90D5D" w:rsidRDefault="00C402B5">
            <w:pPr>
              <w:rPr>
                <w:b/>
                <w:color w:val="339966"/>
                <w:u w:val="single"/>
              </w:rPr>
            </w:pPr>
            <w:r w:rsidRPr="00A90D5D">
              <w:rPr>
                <w:b/>
                <w:color w:val="339966"/>
                <w:u w:val="single"/>
              </w:rPr>
              <w:t>FE</w:t>
            </w:r>
          </w:p>
          <w:p w:rsidR="00C402B5" w:rsidRPr="00A90D5D" w:rsidRDefault="00C402B5">
            <w:pPr>
              <w:rPr>
                <w:b/>
                <w:color w:val="339966"/>
                <w:u w:val="single"/>
              </w:rPr>
            </w:pPr>
          </w:p>
          <w:p w:rsidR="00C402B5" w:rsidRPr="00A90D5D" w:rsidRDefault="00C402B5">
            <w:pPr>
              <w:rPr>
                <w:b/>
                <w:color w:val="339966"/>
                <w:u w:val="single"/>
              </w:rPr>
            </w:pPr>
          </w:p>
        </w:tc>
        <w:tc>
          <w:tcPr>
            <w:tcW w:w="784" w:type="dxa"/>
            <w:gridSpan w:val="3"/>
            <w:tcBorders>
              <w:bottom w:val="single" w:sz="6" w:space="0" w:color="auto"/>
            </w:tcBorders>
          </w:tcPr>
          <w:p w:rsidR="00C402B5" w:rsidRPr="00A90D5D" w:rsidRDefault="00C402B5">
            <w:pPr>
              <w:rPr>
                <w:b/>
                <w:i/>
                <w:color w:val="339966"/>
              </w:rPr>
            </w:pPr>
          </w:p>
        </w:tc>
        <w:tc>
          <w:tcPr>
            <w:tcW w:w="599" w:type="dxa"/>
            <w:gridSpan w:val="4"/>
            <w:tcBorders>
              <w:bottom w:val="single" w:sz="6" w:space="0" w:color="auto"/>
            </w:tcBorders>
          </w:tcPr>
          <w:p w:rsidR="00C402B5" w:rsidRPr="00A90D5D" w:rsidRDefault="00C402B5">
            <w:pPr>
              <w:rPr>
                <w:b/>
                <w:color w:val="339966"/>
                <w:u w:val="single"/>
              </w:rPr>
            </w:pPr>
          </w:p>
        </w:tc>
        <w:tc>
          <w:tcPr>
            <w:tcW w:w="426" w:type="dxa"/>
            <w:gridSpan w:val="3"/>
            <w:tcBorders>
              <w:bottom w:val="single" w:sz="6" w:space="0" w:color="auto"/>
            </w:tcBorders>
          </w:tcPr>
          <w:p w:rsidR="00C402B5" w:rsidRPr="00A90D5D" w:rsidRDefault="00C402B5">
            <w:pPr>
              <w:rPr>
                <w:b/>
                <w:color w:val="339966"/>
                <w:u w:val="single"/>
              </w:rPr>
            </w:pPr>
          </w:p>
        </w:tc>
        <w:tc>
          <w:tcPr>
            <w:tcW w:w="3165" w:type="dxa"/>
            <w:gridSpan w:val="8"/>
            <w:tcBorders>
              <w:bottom w:val="single" w:sz="6" w:space="0" w:color="auto"/>
            </w:tcBorders>
          </w:tcPr>
          <w:p w:rsidR="00C402B5" w:rsidRPr="00A90D5D" w:rsidRDefault="00C402B5">
            <w:pPr>
              <w:rPr>
                <w:b/>
                <w:color w:val="339966"/>
                <w:u w:val="single"/>
              </w:rPr>
            </w:pPr>
          </w:p>
        </w:tc>
      </w:tr>
    </w:tbl>
    <w:p w:rsidR="00C402B5" w:rsidRPr="00A90D5D" w:rsidRDefault="00C402B5">
      <w:pPr>
        <w:ind w:right="-2160"/>
        <w:rPr>
          <w:color w:val="339966"/>
        </w:rPr>
      </w:pPr>
    </w:p>
    <w:p w:rsidR="00C402B5" w:rsidRPr="00A90D5D" w:rsidRDefault="00C402B5">
      <w:pPr>
        <w:pStyle w:val="5"/>
        <w:rPr>
          <w:color w:val="339966"/>
          <w:sz w:val="24"/>
        </w:rPr>
      </w:pPr>
    </w:p>
    <w:p w:rsidR="00C402B5" w:rsidRPr="00A90D5D" w:rsidRDefault="00C402B5">
      <w:pPr>
        <w:pStyle w:val="5"/>
        <w:jc w:val="center"/>
        <w:rPr>
          <w:b/>
          <w:color w:val="339966"/>
          <w:sz w:val="24"/>
        </w:rPr>
      </w:pPr>
      <w:r w:rsidRPr="00A90D5D">
        <w:rPr>
          <w:b/>
          <w:color w:val="339966"/>
          <w:sz w:val="24"/>
        </w:rPr>
        <w:t>Money Withheld for Payment of Profits Tax</w:t>
      </w:r>
    </w:p>
    <w:p w:rsidR="00C402B5" w:rsidRPr="00A90D5D" w:rsidRDefault="00C402B5">
      <w:pPr>
        <w:pStyle w:val="5"/>
        <w:jc w:val="center"/>
        <w:rPr>
          <w:color w:val="339966"/>
          <w:sz w:val="24"/>
          <w:u w:val="single"/>
        </w:rPr>
      </w:pPr>
      <w:r w:rsidRPr="00A90D5D">
        <w:rPr>
          <w:b/>
          <w:color w:val="339966"/>
          <w:sz w:val="24"/>
          <w:u w:val="single"/>
        </w:rPr>
        <w:t>Non-resident Consultants</w:t>
      </w:r>
      <w:r w:rsidRPr="00A90D5D">
        <w:rPr>
          <w:color w:val="339966"/>
          <w:sz w:val="24"/>
          <w:u w:val="single"/>
        </w:rPr>
        <w:t xml:space="preserve"> </w:t>
      </w:r>
    </w:p>
    <w:p w:rsidR="00C402B5" w:rsidRPr="00A90D5D" w:rsidRDefault="00C402B5">
      <w:pPr>
        <w:tabs>
          <w:tab w:val="num" w:pos="2880"/>
        </w:tabs>
        <w:ind w:left="720" w:right="612"/>
        <w:jc w:val="both"/>
        <w:rPr>
          <w:color w:val="339966"/>
          <w:lang w:val="en-US"/>
        </w:rPr>
      </w:pPr>
    </w:p>
    <w:p w:rsidR="00C402B5" w:rsidRPr="00A90D5D" w:rsidRDefault="00C402B5">
      <w:pPr>
        <w:pStyle w:val="aa"/>
        <w:tabs>
          <w:tab w:val="clear" w:pos="2160"/>
        </w:tabs>
        <w:ind w:rightChars="10" w:right="24" w:hanging="720"/>
        <w:rPr>
          <w:color w:val="339966"/>
        </w:rPr>
      </w:pPr>
      <w:r w:rsidRPr="00A90D5D">
        <w:rPr>
          <w:color w:val="339966"/>
        </w:rPr>
        <w:tab/>
      </w:r>
      <w:r w:rsidRPr="00A90D5D">
        <w:rPr>
          <w:color w:val="339966"/>
        </w:rPr>
        <w:tab/>
      </w:r>
      <w:r w:rsidRPr="00A90D5D">
        <w:rPr>
          <w:color w:val="339966"/>
        </w:rPr>
        <w:tab/>
        <w:t>Please be informed that the following non-resident consultants received payments from our department in respect of services provided in Hong Kong. Details are as follows:</w:t>
      </w:r>
    </w:p>
    <w:p w:rsidR="00C402B5" w:rsidRPr="00A90D5D" w:rsidRDefault="00C402B5">
      <w:pPr>
        <w:pStyle w:val="aa"/>
        <w:ind w:rightChars="306" w:right="734" w:hanging="720"/>
        <w:rPr>
          <w:color w:val="339966"/>
        </w:rPr>
      </w:pPr>
    </w:p>
    <w:tbl>
      <w:tblPr>
        <w:tblW w:w="8308" w:type="dxa"/>
        <w:tblInd w:w="720" w:type="dxa"/>
        <w:tblBorders>
          <w:top w:val="single" w:sz="4" w:space="0" w:color="339966"/>
          <w:left w:val="single" w:sz="4" w:space="0" w:color="339966"/>
          <w:bottom w:val="single" w:sz="4" w:space="0" w:color="339966"/>
          <w:right w:val="single" w:sz="4" w:space="0" w:color="339966"/>
          <w:insideH w:val="single" w:sz="4" w:space="0" w:color="339966"/>
          <w:insideV w:val="single" w:sz="4" w:space="0" w:color="339966"/>
        </w:tblBorders>
        <w:tblCellMar>
          <w:left w:w="28" w:type="dxa"/>
          <w:right w:w="28" w:type="dxa"/>
        </w:tblCellMar>
        <w:tblLook w:val="0000" w:firstRow="0" w:lastRow="0" w:firstColumn="0" w:lastColumn="0" w:noHBand="0" w:noVBand="0"/>
      </w:tblPr>
      <w:tblGrid>
        <w:gridCol w:w="4528"/>
        <w:gridCol w:w="3780"/>
      </w:tblGrid>
      <w:tr w:rsidR="00A90D5D" w:rsidRPr="00A90D5D" w:rsidTr="000D39F5">
        <w:tc>
          <w:tcPr>
            <w:tcW w:w="4528" w:type="dxa"/>
          </w:tcPr>
          <w:p w:rsidR="00C402B5" w:rsidRPr="00A90D5D" w:rsidRDefault="00C402B5" w:rsidP="00C402B5">
            <w:pPr>
              <w:numPr>
                <w:ilvl w:val="0"/>
                <w:numId w:val="5"/>
              </w:numPr>
              <w:rPr>
                <w:color w:val="339966"/>
              </w:rPr>
            </w:pPr>
            <w:r w:rsidRPr="00A90D5D">
              <w:rPr>
                <w:color w:val="339966"/>
              </w:rPr>
              <w:t>Full name of the non-resident consultants</w:t>
            </w:r>
          </w:p>
          <w:p w:rsidR="00C402B5" w:rsidRPr="00A90D5D" w:rsidRDefault="00C402B5">
            <w:pPr>
              <w:tabs>
                <w:tab w:val="left" w:pos="480"/>
              </w:tabs>
              <w:rPr>
                <w:color w:val="339966"/>
                <w:lang w:val="en-US"/>
              </w:rPr>
            </w:pPr>
          </w:p>
        </w:tc>
        <w:tc>
          <w:tcPr>
            <w:tcW w:w="3780" w:type="dxa"/>
          </w:tcPr>
          <w:p w:rsidR="00C402B5" w:rsidRPr="00A90D5D" w:rsidRDefault="00C402B5">
            <w:pPr>
              <w:jc w:val="both"/>
              <w:rPr>
                <w:color w:val="339966"/>
                <w:lang w:val="en-US"/>
              </w:rPr>
            </w:pPr>
          </w:p>
        </w:tc>
      </w:tr>
      <w:tr w:rsidR="00A90D5D" w:rsidRPr="00A90D5D" w:rsidTr="000D39F5">
        <w:tc>
          <w:tcPr>
            <w:tcW w:w="4528" w:type="dxa"/>
          </w:tcPr>
          <w:p w:rsidR="00C402B5" w:rsidRPr="00A90D5D" w:rsidRDefault="00C402B5" w:rsidP="00C402B5">
            <w:pPr>
              <w:numPr>
                <w:ilvl w:val="0"/>
                <w:numId w:val="3"/>
              </w:numPr>
              <w:rPr>
                <w:color w:val="339966"/>
              </w:rPr>
            </w:pPr>
            <w:r w:rsidRPr="00A90D5D">
              <w:rPr>
                <w:color w:val="339966"/>
              </w:rPr>
              <w:t>Correspondence address and contact telephone number in Hong Kong</w:t>
            </w:r>
          </w:p>
          <w:p w:rsidR="00C402B5" w:rsidRPr="00A90D5D" w:rsidRDefault="00C402B5">
            <w:pPr>
              <w:tabs>
                <w:tab w:val="left" w:pos="480"/>
              </w:tabs>
              <w:rPr>
                <w:color w:val="339966"/>
                <w:lang w:val="en-US"/>
              </w:rPr>
            </w:pPr>
          </w:p>
        </w:tc>
        <w:tc>
          <w:tcPr>
            <w:tcW w:w="3780" w:type="dxa"/>
          </w:tcPr>
          <w:p w:rsidR="00C402B5" w:rsidRPr="00A90D5D" w:rsidRDefault="00C402B5">
            <w:pPr>
              <w:jc w:val="both"/>
              <w:rPr>
                <w:color w:val="339966"/>
                <w:lang w:val="en-US"/>
              </w:rPr>
            </w:pPr>
          </w:p>
        </w:tc>
      </w:tr>
      <w:tr w:rsidR="00A90D5D" w:rsidRPr="00A90D5D" w:rsidTr="000D39F5">
        <w:tc>
          <w:tcPr>
            <w:tcW w:w="4528" w:type="dxa"/>
          </w:tcPr>
          <w:p w:rsidR="00C402B5" w:rsidRPr="00A90D5D" w:rsidRDefault="00C402B5" w:rsidP="00C402B5">
            <w:pPr>
              <w:numPr>
                <w:ilvl w:val="0"/>
                <w:numId w:val="3"/>
              </w:numPr>
              <w:rPr>
                <w:color w:val="339966"/>
              </w:rPr>
            </w:pPr>
            <w:r w:rsidRPr="00A90D5D">
              <w:rPr>
                <w:color w:val="339966"/>
              </w:rPr>
              <w:t>Overseas correspondence address</w:t>
            </w:r>
          </w:p>
          <w:p w:rsidR="00C402B5" w:rsidRPr="00A90D5D" w:rsidRDefault="00C402B5">
            <w:pPr>
              <w:tabs>
                <w:tab w:val="left" w:pos="480"/>
              </w:tabs>
              <w:rPr>
                <w:color w:val="339966"/>
                <w:lang w:val="en-US"/>
              </w:rPr>
            </w:pPr>
          </w:p>
        </w:tc>
        <w:tc>
          <w:tcPr>
            <w:tcW w:w="3780" w:type="dxa"/>
          </w:tcPr>
          <w:p w:rsidR="00C402B5" w:rsidRPr="00A90D5D" w:rsidRDefault="00C402B5">
            <w:pPr>
              <w:jc w:val="both"/>
              <w:rPr>
                <w:color w:val="339966"/>
                <w:lang w:val="en-US"/>
              </w:rPr>
            </w:pPr>
          </w:p>
        </w:tc>
      </w:tr>
      <w:tr w:rsidR="00A90D5D" w:rsidRPr="00A90D5D" w:rsidTr="000D39F5">
        <w:tc>
          <w:tcPr>
            <w:tcW w:w="4528" w:type="dxa"/>
          </w:tcPr>
          <w:p w:rsidR="00C402B5" w:rsidRPr="00A90D5D" w:rsidRDefault="00C402B5" w:rsidP="00C402B5">
            <w:pPr>
              <w:numPr>
                <w:ilvl w:val="0"/>
                <w:numId w:val="3"/>
              </w:numPr>
              <w:rPr>
                <w:color w:val="339966"/>
              </w:rPr>
            </w:pPr>
            <w:r w:rsidRPr="00A90D5D">
              <w:rPr>
                <w:color w:val="339966"/>
              </w:rPr>
              <w:t>Type of services rendered</w:t>
            </w:r>
          </w:p>
          <w:p w:rsidR="00C402B5" w:rsidRPr="00A90D5D" w:rsidRDefault="00C402B5">
            <w:pPr>
              <w:tabs>
                <w:tab w:val="left" w:pos="480"/>
              </w:tabs>
              <w:rPr>
                <w:color w:val="339966"/>
                <w:lang w:val="en-US"/>
              </w:rPr>
            </w:pPr>
          </w:p>
        </w:tc>
        <w:tc>
          <w:tcPr>
            <w:tcW w:w="3780" w:type="dxa"/>
          </w:tcPr>
          <w:p w:rsidR="00C402B5" w:rsidRPr="00A90D5D" w:rsidRDefault="00C402B5">
            <w:pPr>
              <w:jc w:val="both"/>
              <w:rPr>
                <w:color w:val="339966"/>
                <w:lang w:val="en-US"/>
              </w:rPr>
            </w:pPr>
          </w:p>
        </w:tc>
      </w:tr>
      <w:tr w:rsidR="00A90D5D" w:rsidRPr="00A90D5D" w:rsidTr="000D39F5">
        <w:tc>
          <w:tcPr>
            <w:tcW w:w="4528" w:type="dxa"/>
          </w:tcPr>
          <w:p w:rsidR="00C402B5" w:rsidRPr="00A90D5D" w:rsidRDefault="00C402B5" w:rsidP="00C402B5">
            <w:pPr>
              <w:numPr>
                <w:ilvl w:val="0"/>
                <w:numId w:val="3"/>
              </w:numPr>
              <w:rPr>
                <w:color w:val="339966"/>
              </w:rPr>
            </w:pPr>
            <w:r w:rsidRPr="00A90D5D">
              <w:rPr>
                <w:color w:val="339966"/>
              </w:rPr>
              <w:t>Consultancy fee and consultancy period</w:t>
            </w:r>
          </w:p>
          <w:p w:rsidR="00C402B5" w:rsidRPr="00A90D5D" w:rsidRDefault="00C402B5">
            <w:pPr>
              <w:tabs>
                <w:tab w:val="left" w:pos="480"/>
              </w:tabs>
              <w:rPr>
                <w:color w:val="339966"/>
                <w:lang w:val="en-US"/>
              </w:rPr>
            </w:pPr>
          </w:p>
        </w:tc>
        <w:tc>
          <w:tcPr>
            <w:tcW w:w="3780" w:type="dxa"/>
          </w:tcPr>
          <w:p w:rsidR="00C402B5" w:rsidRPr="00A90D5D" w:rsidRDefault="00C402B5">
            <w:pPr>
              <w:jc w:val="both"/>
              <w:rPr>
                <w:color w:val="339966"/>
                <w:lang w:val="en-US"/>
              </w:rPr>
            </w:pPr>
          </w:p>
        </w:tc>
      </w:tr>
      <w:tr w:rsidR="00A90D5D" w:rsidRPr="00A90D5D" w:rsidTr="000D39F5">
        <w:tc>
          <w:tcPr>
            <w:tcW w:w="4528" w:type="dxa"/>
          </w:tcPr>
          <w:p w:rsidR="00C402B5" w:rsidRPr="00A90D5D" w:rsidRDefault="00C402B5" w:rsidP="00C402B5">
            <w:pPr>
              <w:numPr>
                <w:ilvl w:val="0"/>
                <w:numId w:val="4"/>
              </w:numPr>
              <w:rPr>
                <w:color w:val="339966"/>
              </w:rPr>
            </w:pPr>
            <w:r w:rsidRPr="00A90D5D">
              <w:rPr>
                <w:color w:val="339966"/>
              </w:rPr>
              <w:t>Total payments (net of money withheld for tax payment purposes) made in the fiscal year ended 31 March</w:t>
            </w:r>
          </w:p>
          <w:p w:rsidR="00C402B5" w:rsidRPr="00A90D5D" w:rsidRDefault="00C402B5">
            <w:pPr>
              <w:tabs>
                <w:tab w:val="left" w:pos="480"/>
              </w:tabs>
              <w:rPr>
                <w:color w:val="339966"/>
                <w:lang w:val="en-US"/>
              </w:rPr>
            </w:pPr>
          </w:p>
        </w:tc>
        <w:tc>
          <w:tcPr>
            <w:tcW w:w="3780" w:type="dxa"/>
          </w:tcPr>
          <w:p w:rsidR="00C402B5" w:rsidRPr="00A90D5D" w:rsidRDefault="00C402B5">
            <w:pPr>
              <w:jc w:val="both"/>
              <w:rPr>
                <w:color w:val="339966"/>
                <w:lang w:val="en-US"/>
              </w:rPr>
            </w:pPr>
          </w:p>
        </w:tc>
      </w:tr>
      <w:tr w:rsidR="00A90D5D" w:rsidRPr="00A90D5D" w:rsidTr="000D39F5">
        <w:tc>
          <w:tcPr>
            <w:tcW w:w="4528" w:type="dxa"/>
          </w:tcPr>
          <w:p w:rsidR="00C402B5" w:rsidRPr="00A90D5D" w:rsidRDefault="00C402B5" w:rsidP="00C402B5">
            <w:pPr>
              <w:numPr>
                <w:ilvl w:val="0"/>
                <w:numId w:val="4"/>
              </w:numPr>
              <w:rPr>
                <w:color w:val="339966"/>
              </w:rPr>
            </w:pPr>
            <w:r w:rsidRPr="00A90D5D">
              <w:rPr>
                <w:color w:val="339966"/>
              </w:rPr>
              <w:t>Amount of money withheld for payment of profits tax liability of the non-resident consultants</w:t>
            </w:r>
          </w:p>
          <w:p w:rsidR="00C402B5" w:rsidRPr="00A90D5D" w:rsidRDefault="00C402B5">
            <w:pPr>
              <w:tabs>
                <w:tab w:val="left" w:pos="480"/>
              </w:tabs>
              <w:rPr>
                <w:color w:val="339966"/>
                <w:lang w:val="en-US"/>
              </w:rPr>
            </w:pPr>
          </w:p>
        </w:tc>
        <w:tc>
          <w:tcPr>
            <w:tcW w:w="3780" w:type="dxa"/>
          </w:tcPr>
          <w:p w:rsidR="00C402B5" w:rsidRPr="00A90D5D" w:rsidRDefault="00C402B5">
            <w:pPr>
              <w:jc w:val="both"/>
              <w:rPr>
                <w:color w:val="339966"/>
                <w:lang w:val="en-US"/>
              </w:rPr>
            </w:pPr>
          </w:p>
        </w:tc>
      </w:tr>
    </w:tbl>
    <w:p w:rsidR="00C402B5" w:rsidRPr="00A90D5D" w:rsidRDefault="00C402B5">
      <w:pPr>
        <w:ind w:left="720"/>
        <w:jc w:val="both"/>
        <w:rPr>
          <w:color w:val="339966"/>
          <w:lang w:val="en-US"/>
        </w:rPr>
      </w:pPr>
    </w:p>
    <w:p w:rsidR="00C402B5" w:rsidRPr="00A90D5D" w:rsidRDefault="00C402B5">
      <w:pPr>
        <w:ind w:left="720"/>
        <w:jc w:val="both"/>
        <w:rPr>
          <w:color w:val="339966"/>
          <w:lang w:val="en-US"/>
        </w:rPr>
      </w:pPr>
    </w:p>
    <w:p w:rsidR="00C402B5" w:rsidRPr="00A90D5D" w:rsidRDefault="00C402B5">
      <w:pPr>
        <w:tabs>
          <w:tab w:val="left" w:pos="2160"/>
        </w:tabs>
        <w:ind w:left="720" w:right="612"/>
        <w:jc w:val="both"/>
        <w:rPr>
          <w:color w:val="339966"/>
          <w:lang w:val="en-US"/>
        </w:rPr>
      </w:pPr>
    </w:p>
    <w:p w:rsidR="00C402B5" w:rsidRPr="00A90D5D" w:rsidRDefault="00C402B5">
      <w:pPr>
        <w:ind w:left="720" w:right="26"/>
        <w:jc w:val="both"/>
        <w:rPr>
          <w:color w:val="339966"/>
          <w:lang w:val="en-US"/>
        </w:rPr>
      </w:pPr>
      <w:r w:rsidRPr="00A90D5D">
        <w:rPr>
          <w:color w:val="339966"/>
          <w:lang w:val="en-US"/>
        </w:rPr>
        <w:t>2.</w:t>
      </w:r>
      <w:r w:rsidRPr="00A90D5D">
        <w:rPr>
          <w:color w:val="339966"/>
          <w:lang w:val="en-US"/>
        </w:rPr>
        <w:tab/>
      </w:r>
      <w:r w:rsidRPr="00A90D5D">
        <w:rPr>
          <w:color w:val="339966"/>
          <w:lang w:val="en-US"/>
        </w:rPr>
        <w:tab/>
        <w:t>Transfer voucher/cheque * No. ________ in the amount of HK$ ______, being money withheld for settlement of profits tax liability of the non-resident consultants, is attached for your action.</w:t>
      </w:r>
      <w:r w:rsidRPr="00A90D5D">
        <w:rPr>
          <w:color w:val="339966"/>
          <w:lang w:val="en-US"/>
        </w:rPr>
        <w:softHyphen/>
      </w:r>
      <w:r w:rsidRPr="00A90D5D">
        <w:rPr>
          <w:color w:val="339966"/>
          <w:lang w:val="en-US"/>
        </w:rPr>
        <w:softHyphen/>
      </w:r>
      <w:r w:rsidRPr="00A90D5D">
        <w:rPr>
          <w:color w:val="339966"/>
          <w:lang w:val="en-US"/>
        </w:rPr>
        <w:softHyphen/>
      </w:r>
    </w:p>
    <w:p w:rsidR="00C402B5" w:rsidRPr="00A90D5D" w:rsidRDefault="00C402B5">
      <w:pPr>
        <w:tabs>
          <w:tab w:val="left" w:pos="2160"/>
        </w:tabs>
        <w:ind w:left="720" w:right="26"/>
        <w:jc w:val="both"/>
        <w:rPr>
          <w:color w:val="339966"/>
          <w:lang w:val="en-US"/>
        </w:rPr>
      </w:pPr>
    </w:p>
    <w:p w:rsidR="00C402B5" w:rsidRPr="00A90D5D" w:rsidRDefault="00C402B5">
      <w:pPr>
        <w:ind w:left="720" w:right="26"/>
        <w:jc w:val="both"/>
        <w:rPr>
          <w:color w:val="339966"/>
          <w:lang w:val="en-US"/>
        </w:rPr>
      </w:pPr>
      <w:r w:rsidRPr="00A90D5D">
        <w:rPr>
          <w:color w:val="339966"/>
          <w:lang w:val="en-US"/>
        </w:rPr>
        <w:t>3.</w:t>
      </w:r>
      <w:r w:rsidRPr="00A90D5D">
        <w:rPr>
          <w:color w:val="339966"/>
          <w:lang w:val="en-US"/>
        </w:rPr>
        <w:tab/>
      </w:r>
      <w:r w:rsidRPr="00A90D5D">
        <w:rPr>
          <w:color w:val="339966"/>
          <w:lang w:val="en-US"/>
        </w:rPr>
        <w:tab/>
        <w:t>For further enquiry, please contact the responsible officer _______________ at telephone number __________ .</w:t>
      </w:r>
    </w:p>
    <w:p w:rsidR="00C402B5" w:rsidRPr="00A90D5D" w:rsidRDefault="00C402B5">
      <w:pPr>
        <w:tabs>
          <w:tab w:val="left" w:pos="2160"/>
        </w:tabs>
        <w:ind w:left="720" w:right="612"/>
        <w:jc w:val="both"/>
        <w:rPr>
          <w:color w:val="339966"/>
          <w:lang w:val="en-US"/>
        </w:rPr>
      </w:pPr>
    </w:p>
    <w:p w:rsidR="00C402B5" w:rsidRPr="00A90D5D" w:rsidRDefault="00C402B5">
      <w:pPr>
        <w:tabs>
          <w:tab w:val="left" w:pos="2160"/>
        </w:tabs>
        <w:ind w:left="720" w:right="612"/>
        <w:jc w:val="both"/>
        <w:rPr>
          <w:color w:val="339966"/>
          <w:lang w:val="en-US"/>
        </w:rPr>
      </w:pPr>
    </w:p>
    <w:p w:rsidR="00C402B5" w:rsidRPr="00A90D5D" w:rsidRDefault="00C402B5">
      <w:pPr>
        <w:tabs>
          <w:tab w:val="left" w:pos="2160"/>
        </w:tabs>
        <w:ind w:left="720" w:right="612"/>
        <w:jc w:val="both"/>
        <w:rPr>
          <w:color w:val="339966"/>
          <w:lang w:val="en-US"/>
        </w:rPr>
      </w:pPr>
    </w:p>
    <w:p w:rsidR="00C402B5" w:rsidRPr="00A90D5D" w:rsidRDefault="00C402B5">
      <w:pPr>
        <w:tabs>
          <w:tab w:val="left" w:pos="2160"/>
        </w:tabs>
        <w:ind w:left="720" w:right="612"/>
        <w:jc w:val="both"/>
        <w:rPr>
          <w:color w:val="339966"/>
          <w:lang w:val="en-US"/>
        </w:rPr>
      </w:pPr>
    </w:p>
    <w:p w:rsidR="00C402B5" w:rsidRPr="00A90D5D" w:rsidRDefault="00C402B5">
      <w:pPr>
        <w:tabs>
          <w:tab w:val="left" w:pos="2160"/>
        </w:tabs>
        <w:ind w:left="720" w:right="612"/>
        <w:jc w:val="both"/>
        <w:rPr>
          <w:color w:val="339966"/>
          <w:lang w:val="en-US"/>
        </w:rPr>
      </w:pPr>
    </w:p>
    <w:p w:rsidR="00C402B5" w:rsidRPr="00A90D5D" w:rsidRDefault="00C402B5">
      <w:pPr>
        <w:tabs>
          <w:tab w:val="left" w:pos="2160"/>
          <w:tab w:val="left" w:pos="9000"/>
        </w:tabs>
        <w:ind w:left="720" w:right="26"/>
        <w:jc w:val="both"/>
        <w:rPr>
          <w:color w:val="339966"/>
          <w:lang w:val="en-US"/>
        </w:rPr>
      </w:pPr>
    </w:p>
    <w:p w:rsidR="00C402B5" w:rsidRPr="00A90D5D" w:rsidRDefault="00C402B5">
      <w:pPr>
        <w:tabs>
          <w:tab w:val="center" w:pos="6360"/>
        </w:tabs>
        <w:ind w:left="720" w:right="12"/>
        <w:jc w:val="both"/>
        <w:rPr>
          <w:color w:val="339966"/>
        </w:rPr>
      </w:pPr>
      <w:r w:rsidRPr="00A90D5D">
        <w:rPr>
          <w:color w:val="339966"/>
        </w:rPr>
        <w:tab/>
        <w:t>(</w:t>
      </w:r>
      <w:r w:rsidRPr="00A90D5D">
        <w:rPr>
          <w:color w:val="339966"/>
          <w:lang w:val="en-US"/>
        </w:rPr>
        <w:t>                                           </w:t>
      </w:r>
      <w:r w:rsidRPr="00A90D5D">
        <w:rPr>
          <w:color w:val="339966"/>
        </w:rPr>
        <w:t>)</w:t>
      </w:r>
    </w:p>
    <w:p w:rsidR="00C402B5" w:rsidRPr="00A90D5D" w:rsidRDefault="00C402B5">
      <w:pPr>
        <w:tabs>
          <w:tab w:val="center" w:pos="6360"/>
        </w:tabs>
        <w:ind w:left="720" w:right="12"/>
        <w:jc w:val="both"/>
        <w:rPr>
          <w:color w:val="339966"/>
          <w:lang w:val="en-US"/>
        </w:rPr>
      </w:pPr>
      <w:r w:rsidRPr="00A90D5D">
        <w:rPr>
          <w:color w:val="339966"/>
        </w:rPr>
        <w:tab/>
        <w:t xml:space="preserve">for </w:t>
      </w:r>
      <w:r w:rsidRPr="00A90D5D">
        <w:rPr>
          <w:color w:val="339966"/>
          <w:lang w:val="en-US"/>
        </w:rPr>
        <w:t>                                             </w:t>
      </w:r>
    </w:p>
    <w:p w:rsidR="00C402B5" w:rsidRPr="00A90D5D" w:rsidRDefault="00C402B5">
      <w:pPr>
        <w:pStyle w:val="6"/>
        <w:rPr>
          <w:color w:val="339966"/>
          <w:sz w:val="24"/>
        </w:rPr>
      </w:pPr>
    </w:p>
    <w:p w:rsidR="00C402B5" w:rsidRPr="00A90D5D" w:rsidRDefault="00C402B5">
      <w:pPr>
        <w:pStyle w:val="6"/>
        <w:rPr>
          <w:color w:val="339966"/>
          <w:sz w:val="24"/>
        </w:rPr>
      </w:pPr>
    </w:p>
    <w:p w:rsidR="00C402B5" w:rsidRPr="00A90D5D" w:rsidRDefault="00C402B5">
      <w:pPr>
        <w:jc w:val="both"/>
        <w:rPr>
          <w:b/>
          <w:bCs/>
          <w:color w:val="339966"/>
        </w:rPr>
      </w:pPr>
    </w:p>
    <w:p w:rsidR="00C402B5" w:rsidRPr="00A90D5D" w:rsidRDefault="00C402B5">
      <w:pPr>
        <w:ind w:rightChars="10" w:right="24"/>
        <w:rPr>
          <w:color w:val="339966"/>
        </w:rPr>
      </w:pPr>
    </w:p>
    <w:p w:rsidR="00C402B5" w:rsidRPr="00A90D5D" w:rsidRDefault="00C402B5">
      <w:pPr>
        <w:pStyle w:val="1"/>
        <w:jc w:val="right"/>
        <w:rPr>
          <w:color w:val="339966"/>
        </w:rPr>
      </w:pPr>
      <w:r w:rsidRPr="00A90D5D">
        <w:rPr>
          <w:color w:val="339966"/>
          <w:spacing w:val="-3"/>
          <w:lang w:val="en-US"/>
        </w:rPr>
        <w:br w:type="page"/>
      </w:r>
      <w:r w:rsidRPr="00A90D5D">
        <w:rPr>
          <w:color w:val="339966"/>
        </w:rPr>
        <w:t>Annex B of Appendix 4.15</w:t>
      </w:r>
    </w:p>
    <w:p w:rsidR="00C402B5" w:rsidRPr="00A90D5D" w:rsidRDefault="00C402B5">
      <w:pPr>
        <w:rPr>
          <w:color w:val="339966"/>
        </w:rPr>
      </w:pPr>
    </w:p>
    <w:p w:rsidR="00C402B5" w:rsidRPr="00A90D5D" w:rsidRDefault="00C402B5">
      <w:pPr>
        <w:ind w:left="720" w:rightChars="260" w:right="624"/>
        <w:jc w:val="center"/>
        <w:rPr>
          <w:b/>
          <w:color w:val="339966"/>
        </w:rPr>
      </w:pPr>
      <w:r w:rsidRPr="00A90D5D">
        <w:rPr>
          <w:b/>
          <w:color w:val="339966"/>
        </w:rPr>
        <w:t>Additional Clauses to be Included in</w:t>
      </w:r>
    </w:p>
    <w:p w:rsidR="00C402B5" w:rsidRPr="00A90D5D" w:rsidRDefault="00C402B5">
      <w:pPr>
        <w:ind w:left="720" w:rightChars="260" w:right="624"/>
        <w:jc w:val="center"/>
        <w:rPr>
          <w:b/>
          <w:color w:val="339966"/>
        </w:rPr>
      </w:pPr>
      <w:r w:rsidRPr="00A90D5D">
        <w:rPr>
          <w:b/>
          <w:color w:val="339966"/>
        </w:rPr>
        <w:t>Invitation Letters for Consultancy Proposals</w:t>
      </w:r>
    </w:p>
    <w:p w:rsidR="00C402B5" w:rsidRPr="00A90D5D" w:rsidRDefault="00C402B5">
      <w:pPr>
        <w:ind w:leftChars="400" w:left="960" w:rightChars="360" w:right="864"/>
        <w:jc w:val="both"/>
        <w:rPr>
          <w:color w:val="339966"/>
        </w:rPr>
      </w:pPr>
    </w:p>
    <w:p w:rsidR="00C402B5" w:rsidRPr="00A90D5D" w:rsidRDefault="00C402B5">
      <w:pPr>
        <w:ind w:leftChars="400" w:left="960" w:rightChars="360" w:right="864"/>
        <w:jc w:val="both"/>
        <w:rPr>
          <w:color w:val="339966"/>
        </w:rPr>
      </w:pPr>
      <w:r w:rsidRPr="00A90D5D">
        <w:rPr>
          <w:color w:val="339966"/>
        </w:rPr>
        <w:t>Please note that where the Consultants are non-resident corporation or, where the Consultants are unincorporated joint venture or partnership or sole proprietorship, any one of the participants or partners or the sole proprietor is a non-resident, the Government shall withhold a percentage equivalent to the prevailing Hong Kong Special Administrative Region (hereinafter referred to as Hong Kong) profits tax rate applicable to unincorporated and incorporated business at the time the services are rendered (</w:t>
      </w:r>
      <w:r w:rsidR="00D24764" w:rsidRPr="00C8490E">
        <w:rPr>
          <w:color w:val="339966"/>
        </w:rPr>
        <w:t xml:space="preserve">For the details of </w:t>
      </w:r>
      <w:r w:rsidRPr="00A90D5D">
        <w:rPr>
          <w:color w:val="339966"/>
        </w:rPr>
        <w:t xml:space="preserve">the current </w:t>
      </w:r>
      <w:r w:rsidR="00D24764" w:rsidRPr="00C8490E">
        <w:rPr>
          <w:color w:val="339966"/>
          <w:lang w:eastAsia="zh-HK"/>
        </w:rPr>
        <w:t xml:space="preserve">profits tax </w:t>
      </w:r>
      <w:r w:rsidRPr="00A90D5D">
        <w:rPr>
          <w:color w:val="339966"/>
        </w:rPr>
        <w:t>rates</w:t>
      </w:r>
      <w:r w:rsidR="00D24764" w:rsidRPr="00C8490E">
        <w:rPr>
          <w:color w:val="339966"/>
          <w:lang w:eastAsia="zh-HK"/>
        </w:rPr>
        <w:t>,</w:t>
      </w:r>
      <w:r w:rsidR="00D24764" w:rsidRPr="00C8490E">
        <w:rPr>
          <w:color w:val="339966"/>
        </w:rPr>
        <w:t xml:space="preserve"> please refer to the website</w:t>
      </w:r>
      <w:r w:rsidR="00D24764" w:rsidRPr="00A90D5D">
        <w:rPr>
          <w:color w:val="339966"/>
        </w:rPr>
        <w:t xml:space="preserve"> of </w:t>
      </w:r>
      <w:r w:rsidR="00D24764" w:rsidRPr="00C8490E">
        <w:rPr>
          <w:color w:val="339966"/>
        </w:rPr>
        <w:t>the Inland Revenue Department www.ird.gov.hk</w:t>
      </w:r>
      <w:r w:rsidRPr="00A90D5D">
        <w:rPr>
          <w:color w:val="339966"/>
        </w:rPr>
        <w:t>) of any fee payable to the Consultants, whether by way of lump sum, instalments or discounted payments, but exclusive of any reimbursement of expenses, if any</w:t>
      </w:r>
      <w:r w:rsidRPr="00A90D5D">
        <w:rPr>
          <w:color w:val="339966"/>
          <w:lang w:val="en-US"/>
        </w:rPr>
        <w:t>,</w:t>
      </w:r>
      <w:r w:rsidRPr="00A90D5D">
        <w:rPr>
          <w:color w:val="339966"/>
        </w:rPr>
        <w:t xml:space="preserve"> in respect of the Services performed/provided in Hong Kong for the settlement of Hong Kong profits tax chargeable on the fee.  Any balance representing the excess of fees so withheld in the basis period of the year of assessment over the Consultants’ tax liability for that year will be returned to the Consultants without interest within a reasonable time upon final determination and settlement of their tax liabilities.</w:t>
      </w:r>
    </w:p>
    <w:p w:rsidR="00C402B5" w:rsidRPr="00A90D5D" w:rsidRDefault="00C402B5">
      <w:pPr>
        <w:ind w:leftChars="400" w:left="960" w:rightChars="360" w:right="864"/>
        <w:jc w:val="both"/>
        <w:rPr>
          <w:color w:val="339966"/>
        </w:rPr>
      </w:pPr>
    </w:p>
    <w:p w:rsidR="00C402B5" w:rsidRPr="00A90D5D" w:rsidRDefault="00C402B5">
      <w:pPr>
        <w:ind w:leftChars="400" w:left="960" w:rightChars="360" w:right="864"/>
        <w:jc w:val="both"/>
        <w:rPr>
          <w:color w:val="339966"/>
        </w:rPr>
      </w:pPr>
      <w:r w:rsidRPr="00A90D5D">
        <w:rPr>
          <w:color w:val="339966"/>
        </w:rPr>
        <w:t xml:space="preserve">Where the Consultants are non-resident corporation or, where the Consultants are unincorporated joint venture or partnership or sole proprietorship, any one of the participants or partners or the sole proprietor is a non-resident,  should they be awarded the consultancy, such data (including but not limited to their names, nature of engagement, consultancy period, consultancy fee, correspondence address (both local and overseas) and the amount of tax withheld) will be notified/provided to the Inland Revenue Department for tax assessment and collection purposes.   </w:t>
      </w:r>
    </w:p>
    <w:p w:rsidR="00C402B5" w:rsidRPr="00A90D5D" w:rsidRDefault="00C402B5">
      <w:pPr>
        <w:ind w:leftChars="400" w:left="960" w:rightChars="360" w:right="864"/>
        <w:jc w:val="both"/>
        <w:rPr>
          <w:color w:val="339966"/>
        </w:rPr>
      </w:pPr>
    </w:p>
    <w:p w:rsidR="00C402B5" w:rsidRPr="00A90D5D" w:rsidRDefault="00C402B5">
      <w:pPr>
        <w:ind w:leftChars="400" w:left="960" w:rightChars="360" w:right="864"/>
        <w:jc w:val="both"/>
        <w:rPr>
          <w:color w:val="339966"/>
        </w:rPr>
      </w:pPr>
      <w:r w:rsidRPr="00A90D5D">
        <w:rPr>
          <w:color w:val="339966"/>
        </w:rPr>
        <w:t>“Non-resident” means in the case of an individual, one who maintains a place of abode outside Hong Kong; and in the case of a corporation, one which is not incorporated in Hong Kong.</w:t>
      </w:r>
    </w:p>
    <w:p w:rsidR="00C402B5" w:rsidRPr="00A90D5D" w:rsidRDefault="00C402B5">
      <w:pPr>
        <w:ind w:leftChars="400" w:left="960" w:rightChars="360" w:right="864"/>
        <w:jc w:val="both"/>
        <w:rPr>
          <w:color w:val="339966"/>
        </w:rPr>
      </w:pPr>
    </w:p>
    <w:p w:rsidR="00C402B5" w:rsidRPr="00A90D5D" w:rsidRDefault="00C402B5">
      <w:pPr>
        <w:ind w:leftChars="400" w:left="960" w:rightChars="360" w:right="864"/>
        <w:jc w:val="both"/>
        <w:rPr>
          <w:color w:val="339966"/>
        </w:rPr>
      </w:pPr>
      <w:r w:rsidRPr="00A90D5D">
        <w:rPr>
          <w:color w:val="339966"/>
        </w:rPr>
        <w:t>Consultants shall declare their resident status or the sole proprietor’s resident status in their consultancy proposals.  If the Consultants are unincorporated joint venture or partnership, the Consultants must declare the resident status of each and every participant or partner thereof. A sample declaration letter is at [Annex xxx].</w:t>
      </w:r>
    </w:p>
    <w:p w:rsidR="00C402B5" w:rsidRPr="00A90D5D" w:rsidRDefault="00C402B5">
      <w:pPr>
        <w:ind w:leftChars="400" w:left="960" w:rightChars="360" w:right="864"/>
        <w:jc w:val="both"/>
        <w:rPr>
          <w:color w:val="339966"/>
        </w:rPr>
      </w:pPr>
    </w:p>
    <w:p w:rsidR="00C402B5" w:rsidRPr="00A90D5D" w:rsidRDefault="00C402B5">
      <w:pPr>
        <w:ind w:leftChars="400" w:left="960" w:rightChars="360" w:right="864"/>
        <w:jc w:val="both"/>
        <w:rPr>
          <w:color w:val="339966"/>
        </w:rPr>
      </w:pPr>
    </w:p>
    <w:p w:rsidR="00C402B5" w:rsidRPr="00A90D5D" w:rsidRDefault="00C402B5">
      <w:pPr>
        <w:ind w:leftChars="400" w:left="960" w:rightChars="360" w:right="864"/>
        <w:jc w:val="both"/>
        <w:rPr>
          <w:color w:val="339966"/>
        </w:rPr>
      </w:pPr>
    </w:p>
    <w:p w:rsidR="00C402B5" w:rsidRPr="00A90D5D" w:rsidRDefault="00C402B5">
      <w:pPr>
        <w:ind w:leftChars="400" w:left="960" w:rightChars="360" w:right="864"/>
        <w:rPr>
          <w:color w:val="339966"/>
        </w:rPr>
      </w:pPr>
      <w:r w:rsidRPr="00A90D5D">
        <w:rPr>
          <w:color w:val="339966"/>
        </w:rPr>
        <w:br w:type="page"/>
      </w:r>
    </w:p>
    <w:p w:rsidR="00C402B5" w:rsidRPr="00A90D5D" w:rsidRDefault="00C402B5">
      <w:pPr>
        <w:wordWrap w:val="0"/>
        <w:spacing w:afterLines="100" w:after="360"/>
        <w:ind w:rightChars="-150" w:right="-360"/>
        <w:jc w:val="right"/>
        <w:rPr>
          <w:color w:val="339966"/>
        </w:rPr>
      </w:pPr>
      <w:r w:rsidRPr="00A90D5D">
        <w:rPr>
          <w:color w:val="339966"/>
        </w:rPr>
        <w:t>[Annex xxx] to Annex B of Appendix 4.15</w:t>
      </w:r>
    </w:p>
    <w:p w:rsidR="00C402B5" w:rsidRPr="00A90D5D" w:rsidRDefault="00C402B5">
      <w:pPr>
        <w:spacing w:afterLines="100" w:after="360"/>
        <w:ind w:rightChars="75" w:right="180"/>
        <w:jc w:val="center"/>
        <w:rPr>
          <w:color w:val="339966"/>
        </w:rPr>
      </w:pPr>
      <w:r w:rsidRPr="00A90D5D">
        <w:rPr>
          <w:color w:val="339966"/>
        </w:rPr>
        <w:t>Sample Declaration Letter</w:t>
      </w:r>
    </w:p>
    <w:p w:rsidR="00C402B5" w:rsidRPr="00A90D5D" w:rsidRDefault="00C402B5">
      <w:pPr>
        <w:spacing w:afterLines="100" w:after="360"/>
        <w:ind w:rightChars="75" w:right="180"/>
        <w:jc w:val="center"/>
        <w:rPr>
          <w:color w:val="339966"/>
        </w:rPr>
      </w:pPr>
    </w:p>
    <w:p w:rsidR="00C402B5" w:rsidRPr="00C8490E" w:rsidRDefault="00D24764">
      <w:pPr>
        <w:spacing w:afterLines="100" w:after="360"/>
        <w:ind w:rightChars="75" w:right="180"/>
        <w:jc w:val="center"/>
        <w:rPr>
          <w:color w:val="339966"/>
        </w:rPr>
      </w:pPr>
      <w:r w:rsidRPr="00C8490E">
        <w:rPr>
          <w:color w:val="339966"/>
          <w:lang w:eastAsia="zh-HK"/>
        </w:rPr>
        <w:t>Agreement No. [XX]</w:t>
      </w:r>
    </w:p>
    <w:p w:rsidR="00C402B5" w:rsidRPr="00A90D5D" w:rsidRDefault="00C402B5">
      <w:pPr>
        <w:spacing w:afterLines="100" w:after="360"/>
        <w:ind w:rightChars="75" w:right="180"/>
        <w:jc w:val="center"/>
        <w:rPr>
          <w:color w:val="339966"/>
        </w:rPr>
      </w:pPr>
      <w:r w:rsidRPr="00C8490E">
        <w:rPr>
          <w:color w:val="339966"/>
        </w:rPr>
        <w:t>[</w:t>
      </w:r>
      <w:r w:rsidR="00D24764" w:rsidRPr="00C8490E">
        <w:rPr>
          <w:color w:val="339966"/>
          <w:lang w:eastAsia="zh-HK"/>
        </w:rPr>
        <w:t>Agreement Title</w:t>
      </w:r>
      <w:r w:rsidRPr="00A90D5D">
        <w:rPr>
          <w:color w:val="339966"/>
        </w:rPr>
        <w:t>]</w:t>
      </w:r>
    </w:p>
    <w:p w:rsidR="00C402B5" w:rsidRPr="00A90D5D" w:rsidRDefault="00C402B5">
      <w:pPr>
        <w:spacing w:afterLines="100" w:after="360"/>
        <w:ind w:rightChars="75" w:right="180"/>
        <w:rPr>
          <w:color w:val="339966"/>
        </w:rPr>
      </w:pPr>
      <w:r w:rsidRPr="00A90D5D">
        <w:rPr>
          <w:color w:val="339966"/>
        </w:rPr>
        <w:t>To:  The Government of the HKSAR</w:t>
      </w:r>
    </w:p>
    <w:p w:rsidR="00C402B5" w:rsidRPr="00A90D5D" w:rsidRDefault="00C402B5">
      <w:pPr>
        <w:spacing w:afterLines="100" w:after="360"/>
        <w:ind w:rightChars="75" w:right="180"/>
        <w:jc w:val="both"/>
        <w:rPr>
          <w:color w:val="339966"/>
        </w:rPr>
      </w:pPr>
      <w:r w:rsidRPr="00A90D5D">
        <w:rPr>
          <w:rStyle w:val="a8"/>
          <w:color w:val="339966"/>
        </w:rPr>
        <w:footnoteReference w:id="2"/>
      </w:r>
      <w:r w:rsidRPr="00A90D5D">
        <w:rPr>
          <w:color w:val="339966"/>
        </w:rPr>
        <w:t>We declare that we are Hong Kong Resident / Non-resident [please delete where inappropriate] having regard to the definition of “Non-resident” in Clause [yy] of the Invitation Letter for consultancy proposal in respect of the Project.</w:t>
      </w:r>
    </w:p>
    <w:p w:rsidR="00C402B5" w:rsidRPr="00A90D5D" w:rsidRDefault="00C402B5">
      <w:pPr>
        <w:spacing w:afterLines="100" w:after="360"/>
        <w:ind w:rightChars="75" w:right="180"/>
        <w:jc w:val="both"/>
        <w:rPr>
          <w:color w:val="339966"/>
        </w:rPr>
      </w:pPr>
      <w:r w:rsidRPr="00A90D5D">
        <w:rPr>
          <w:color w:val="339966"/>
        </w:rPr>
        <w:t>Or</w:t>
      </w:r>
    </w:p>
    <w:p w:rsidR="00C402B5" w:rsidRPr="00A90D5D" w:rsidRDefault="00C402B5">
      <w:pPr>
        <w:spacing w:afterLines="100" w:after="360"/>
        <w:ind w:rightChars="75" w:right="180"/>
        <w:jc w:val="both"/>
        <w:rPr>
          <w:color w:val="339966"/>
        </w:rPr>
      </w:pPr>
      <w:r w:rsidRPr="00A90D5D">
        <w:rPr>
          <w:rStyle w:val="a8"/>
          <w:color w:val="339966"/>
        </w:rPr>
        <w:footnoteReference w:id="3"/>
      </w:r>
      <w:r w:rsidRPr="00A90D5D">
        <w:rPr>
          <w:color w:val="339966"/>
        </w:rPr>
        <w:t>We declare that our sole proprietor is a Hong Kong Resident / Non-resident [please delete where inappropriate] having regard to the definition of “Non-resident” in Clause [yy] of the Invitation Letter for consultancy proposal in respect of the Project.</w:t>
      </w:r>
    </w:p>
    <w:p w:rsidR="00C402B5" w:rsidRPr="00A90D5D" w:rsidRDefault="00C402B5">
      <w:pPr>
        <w:spacing w:afterLines="100" w:after="360"/>
        <w:ind w:rightChars="75" w:right="180"/>
        <w:jc w:val="both"/>
        <w:rPr>
          <w:color w:val="339966"/>
        </w:rPr>
      </w:pPr>
      <w:r w:rsidRPr="00A90D5D">
        <w:rPr>
          <w:color w:val="339966"/>
        </w:rPr>
        <w:t>Or</w:t>
      </w:r>
    </w:p>
    <w:p w:rsidR="00C402B5" w:rsidRPr="00A90D5D" w:rsidRDefault="00C402B5">
      <w:pPr>
        <w:spacing w:afterLines="100" w:after="360"/>
        <w:ind w:rightChars="75" w:right="180"/>
        <w:jc w:val="both"/>
        <w:rPr>
          <w:color w:val="339966"/>
        </w:rPr>
      </w:pPr>
      <w:r w:rsidRPr="00A90D5D">
        <w:rPr>
          <w:rStyle w:val="a8"/>
          <w:color w:val="339966"/>
        </w:rPr>
        <w:footnoteReference w:id="4"/>
      </w:r>
      <w:r w:rsidRPr="00A90D5D">
        <w:rPr>
          <w:color w:val="339966"/>
        </w:rPr>
        <w:t>We declare that the participants/partners of the Consultants’ unincorporated joint venture/partnership are all Hong Kong Residents having regard to the definition of “Non-resident” in Clause [yy] of the Invitation Letter for consultancy proposal in respect of the Project.</w:t>
      </w:r>
      <w:r w:rsidRPr="00A90D5D">
        <w:rPr>
          <w:rStyle w:val="a8"/>
          <w:color w:val="339966"/>
        </w:rPr>
        <w:t xml:space="preserve"> </w:t>
      </w:r>
    </w:p>
    <w:p w:rsidR="00C402B5" w:rsidRPr="00A90D5D" w:rsidRDefault="00C402B5">
      <w:pPr>
        <w:spacing w:afterLines="100" w:after="360"/>
        <w:ind w:rightChars="75" w:right="180"/>
        <w:jc w:val="both"/>
        <w:rPr>
          <w:color w:val="339966"/>
        </w:rPr>
      </w:pPr>
      <w:r w:rsidRPr="00A90D5D">
        <w:rPr>
          <w:color w:val="339966"/>
        </w:rPr>
        <w:t>Or</w:t>
      </w:r>
    </w:p>
    <w:p w:rsidR="00C402B5" w:rsidRPr="00A90D5D" w:rsidRDefault="00C402B5">
      <w:pPr>
        <w:spacing w:afterLines="100" w:after="360"/>
        <w:ind w:rightChars="75" w:right="180"/>
        <w:jc w:val="both"/>
        <w:rPr>
          <w:color w:val="339966"/>
        </w:rPr>
      </w:pPr>
      <w:r w:rsidRPr="00A90D5D">
        <w:rPr>
          <w:rStyle w:val="a8"/>
          <w:color w:val="339966"/>
        </w:rPr>
        <w:footnoteReference w:id="5"/>
      </w:r>
      <w:r w:rsidRPr="00A90D5D">
        <w:rPr>
          <w:color w:val="339966"/>
        </w:rPr>
        <w:t>We declare that the following participants/partners in the Consultants’ unincorporated joint venture/partnership are Non-resident(s) having regard to the definition of “Non-resident” in Clause [yy] of the Invitation Letter for consultancy proposal in respect of the Project, and the rest of the participants/partners are Hong Kong Residents:</w:t>
      </w:r>
    </w:p>
    <w:p w:rsidR="00C402B5" w:rsidRPr="00A90D5D" w:rsidRDefault="00C402B5">
      <w:pPr>
        <w:spacing w:afterLines="100" w:after="360"/>
        <w:ind w:rightChars="75" w:right="180"/>
        <w:jc w:val="both"/>
        <w:rPr>
          <w:color w:val="339966"/>
        </w:rPr>
      </w:pPr>
      <w:r w:rsidRPr="00A90D5D">
        <w:rPr>
          <w:color w:val="339966"/>
        </w:rPr>
        <w:t>1.</w:t>
      </w:r>
    </w:p>
    <w:p w:rsidR="00C402B5" w:rsidRPr="00A90D5D" w:rsidRDefault="00C402B5">
      <w:pPr>
        <w:spacing w:afterLines="100" w:after="360"/>
        <w:ind w:rightChars="75" w:right="180"/>
        <w:jc w:val="both"/>
        <w:rPr>
          <w:color w:val="339966"/>
        </w:rPr>
      </w:pPr>
      <w:r w:rsidRPr="00A90D5D">
        <w:rPr>
          <w:color w:val="339966"/>
        </w:rPr>
        <w:t>2.</w:t>
      </w:r>
    </w:p>
    <w:p w:rsidR="00C402B5" w:rsidRPr="00A90D5D" w:rsidRDefault="00C402B5">
      <w:pPr>
        <w:spacing w:afterLines="100" w:after="360"/>
        <w:ind w:rightChars="75" w:right="180"/>
        <w:jc w:val="both"/>
        <w:rPr>
          <w:color w:val="339966"/>
        </w:rPr>
      </w:pPr>
      <w:r w:rsidRPr="00A90D5D">
        <w:rPr>
          <w:color w:val="339966"/>
        </w:rPr>
        <w:t>3.</w:t>
      </w:r>
    </w:p>
    <w:p w:rsidR="00C402B5" w:rsidRPr="00A90D5D" w:rsidRDefault="00C402B5">
      <w:pPr>
        <w:spacing w:afterLines="100" w:after="360"/>
        <w:ind w:rightChars="75" w:right="180"/>
        <w:jc w:val="both"/>
        <w:rPr>
          <w:color w:val="339966"/>
        </w:rPr>
      </w:pPr>
      <w:r w:rsidRPr="00A90D5D">
        <w:rPr>
          <w:color w:val="339966"/>
        </w:rPr>
        <w:t>.</w:t>
      </w:r>
    </w:p>
    <w:p w:rsidR="00C402B5" w:rsidRPr="00A90D5D" w:rsidRDefault="00C402B5">
      <w:pPr>
        <w:spacing w:afterLines="100" w:after="360"/>
        <w:ind w:rightChars="75" w:right="180"/>
        <w:jc w:val="both"/>
        <w:rPr>
          <w:color w:val="339966"/>
        </w:rPr>
      </w:pPr>
      <w:r w:rsidRPr="00A90D5D">
        <w:rPr>
          <w:color w:val="339966"/>
        </w:rPr>
        <w:t>.</w:t>
      </w:r>
    </w:p>
    <w:p w:rsidR="00C402B5" w:rsidRPr="00A90D5D" w:rsidRDefault="00C402B5">
      <w:pPr>
        <w:spacing w:afterLines="100" w:after="360"/>
        <w:ind w:rightChars="75" w:right="180"/>
        <w:jc w:val="both"/>
        <w:rPr>
          <w:color w:val="339966"/>
          <w:lang w:val="en-US"/>
        </w:rPr>
      </w:pPr>
      <w:r w:rsidRPr="00A90D5D">
        <w:rPr>
          <w:color w:val="339966"/>
          <w:lang w:val="en-US"/>
        </w:rPr>
        <w:t>.</w:t>
      </w:r>
    </w:p>
    <w:p w:rsidR="00C402B5" w:rsidRPr="00A90D5D" w:rsidRDefault="00C402B5">
      <w:pPr>
        <w:spacing w:afterLines="100" w:after="360"/>
        <w:ind w:rightChars="75" w:right="180"/>
        <w:jc w:val="both"/>
        <w:rPr>
          <w:color w:val="339966"/>
        </w:rPr>
      </w:pPr>
    </w:p>
    <w:p w:rsidR="00C402B5" w:rsidRPr="00A90D5D" w:rsidRDefault="00C402B5">
      <w:pPr>
        <w:spacing w:afterLines="100" w:after="360"/>
        <w:ind w:rightChars="75" w:right="180"/>
        <w:rPr>
          <w:color w:val="339966"/>
        </w:rPr>
      </w:pPr>
      <w:r w:rsidRPr="00A90D5D">
        <w:rPr>
          <w:color w:val="339966"/>
        </w:rPr>
        <w:t>Name of Consultants: __________________________________________</w:t>
      </w:r>
    </w:p>
    <w:p w:rsidR="00C402B5" w:rsidRPr="00A90D5D" w:rsidRDefault="00C402B5">
      <w:pPr>
        <w:spacing w:afterLines="100" w:after="360"/>
        <w:ind w:rightChars="75" w:right="180"/>
        <w:jc w:val="both"/>
        <w:rPr>
          <w:color w:val="339966"/>
        </w:rPr>
      </w:pPr>
      <w:r w:rsidRPr="00A90D5D">
        <w:rPr>
          <w:color w:val="339966"/>
        </w:rPr>
        <w:t>Signature of Person authorised to sign the Proposal: __________________</w:t>
      </w:r>
    </w:p>
    <w:p w:rsidR="00C402B5" w:rsidRPr="00A90D5D" w:rsidRDefault="00C402B5">
      <w:pPr>
        <w:pStyle w:val="a4"/>
        <w:ind w:rightChars="75" w:right="180"/>
        <w:rPr>
          <w:color w:val="339966"/>
        </w:rPr>
      </w:pPr>
      <w:r w:rsidRPr="00A90D5D">
        <w:rPr>
          <w:color w:val="339966"/>
        </w:rPr>
        <w:t>Name in block letters__________________________________________</w:t>
      </w:r>
    </w:p>
    <w:p w:rsidR="00C402B5" w:rsidRPr="00A90D5D" w:rsidRDefault="00C402B5">
      <w:pPr>
        <w:spacing w:afterLines="100" w:after="360"/>
        <w:ind w:rightChars="75" w:right="180"/>
        <w:jc w:val="both"/>
        <w:rPr>
          <w:color w:val="339966"/>
        </w:rPr>
      </w:pPr>
      <w:r w:rsidRPr="00A90D5D">
        <w:rPr>
          <w:color w:val="339966"/>
        </w:rPr>
        <w:t>Telephone number: ____________________________________________</w:t>
      </w:r>
    </w:p>
    <w:p w:rsidR="00C402B5" w:rsidRPr="00A90D5D" w:rsidRDefault="00C402B5">
      <w:pPr>
        <w:spacing w:afterLines="100" w:after="360"/>
        <w:ind w:rightChars="75" w:right="180"/>
        <w:jc w:val="both"/>
        <w:rPr>
          <w:color w:val="339966"/>
        </w:rPr>
      </w:pPr>
      <w:r w:rsidRPr="00A90D5D">
        <w:rPr>
          <w:color w:val="339966"/>
        </w:rPr>
        <w:t>Date: _______________________________________________________</w:t>
      </w:r>
    </w:p>
    <w:p w:rsidR="00C402B5" w:rsidRPr="00A90D5D" w:rsidRDefault="00C402B5">
      <w:pPr>
        <w:jc w:val="right"/>
        <w:rPr>
          <w:b/>
          <w:color w:val="339966"/>
        </w:rPr>
      </w:pPr>
      <w:r w:rsidRPr="00A90D5D">
        <w:rPr>
          <w:color w:val="339966"/>
          <w:spacing w:val="-3"/>
        </w:rPr>
        <w:br w:type="page"/>
      </w:r>
      <w:r w:rsidRPr="00A90D5D">
        <w:rPr>
          <w:b/>
          <w:color w:val="339966"/>
        </w:rPr>
        <w:t>Annex C of Appendix 4.15</w:t>
      </w:r>
    </w:p>
    <w:p w:rsidR="00C402B5" w:rsidRPr="00A90D5D" w:rsidRDefault="00C402B5">
      <w:pPr>
        <w:rPr>
          <w:color w:val="339966"/>
        </w:rPr>
      </w:pPr>
    </w:p>
    <w:p w:rsidR="00C402B5" w:rsidRPr="00A90D5D" w:rsidRDefault="00C402B5">
      <w:pPr>
        <w:ind w:left="601" w:rightChars="-225" w:right="-540" w:hanging="601"/>
        <w:jc w:val="center"/>
        <w:rPr>
          <w:b/>
          <w:color w:val="339966"/>
        </w:rPr>
      </w:pPr>
      <w:r w:rsidRPr="00A90D5D">
        <w:rPr>
          <w:b/>
          <w:color w:val="339966"/>
        </w:rPr>
        <w:t>Standard Special Conditions of Employment</w:t>
      </w:r>
    </w:p>
    <w:p w:rsidR="00C402B5" w:rsidRPr="00A90D5D" w:rsidRDefault="00C402B5">
      <w:pPr>
        <w:ind w:rightChars="-225" w:right="-540" w:firstLine="600"/>
        <w:jc w:val="both"/>
        <w:rPr>
          <w:b/>
          <w:color w:val="339966"/>
        </w:rPr>
      </w:pPr>
    </w:p>
    <w:p w:rsidR="00C402B5" w:rsidRPr="00A90D5D" w:rsidRDefault="00C402B5">
      <w:pPr>
        <w:ind w:rightChars="-225" w:right="-540" w:firstLine="600"/>
        <w:jc w:val="both"/>
        <w:rPr>
          <w:b/>
          <w:color w:val="339966"/>
        </w:rPr>
      </w:pPr>
      <w:r w:rsidRPr="00A90D5D">
        <w:rPr>
          <w:b/>
          <w:color w:val="339966"/>
        </w:rPr>
        <w:t>SCE (   ) - Tax Withholding</w:t>
      </w:r>
    </w:p>
    <w:p w:rsidR="00C402B5" w:rsidRPr="00A90D5D" w:rsidRDefault="00C402B5">
      <w:pPr>
        <w:ind w:rightChars="-225" w:right="-540"/>
        <w:jc w:val="both"/>
        <w:rPr>
          <w:b/>
          <w:color w:val="339966"/>
        </w:rPr>
      </w:pPr>
    </w:p>
    <w:p w:rsidR="00C402B5" w:rsidRPr="00A90D5D" w:rsidRDefault="00C402B5" w:rsidP="00C402B5">
      <w:pPr>
        <w:numPr>
          <w:ilvl w:val="0"/>
          <w:numId w:val="1"/>
        </w:numPr>
        <w:tabs>
          <w:tab w:val="left" w:pos="600"/>
        </w:tabs>
        <w:ind w:rightChars="-225" w:right="-540"/>
        <w:jc w:val="both"/>
        <w:rPr>
          <w:color w:val="339966"/>
          <w:lang w:val="en-US"/>
        </w:rPr>
      </w:pPr>
      <w:r w:rsidRPr="00A90D5D">
        <w:rPr>
          <w:color w:val="339966"/>
          <w:lang w:val="en-US"/>
        </w:rPr>
        <w:t xml:space="preserve">Where the Consultants are non-resident corporation </w:t>
      </w:r>
      <w:r w:rsidRPr="00A90D5D">
        <w:rPr>
          <w:color w:val="339966"/>
        </w:rPr>
        <w:t>or, where the Consultants are unincorporated joint venture or partnership or sole proprietorship, any one of the participants or partners or the sole proprietor is a non-resident (whether as declared in the consultancy proposals or as subsequently notified to or found out by the Government)</w:t>
      </w:r>
      <w:r w:rsidRPr="00A90D5D">
        <w:rPr>
          <w:color w:val="339966"/>
          <w:lang w:val="en-US"/>
        </w:rPr>
        <w:t xml:space="preserve">, the Government shall withhold a percentage equivalent to the prevailing Hong Kong profits tax rate applicable to unincorporated and incorporated business </w:t>
      </w:r>
      <w:r w:rsidRPr="00A90D5D">
        <w:rPr>
          <w:color w:val="339966"/>
        </w:rPr>
        <w:t>at the time the Services are rendered (</w:t>
      </w:r>
      <w:r w:rsidR="00D24764" w:rsidRPr="00C8490E">
        <w:rPr>
          <w:color w:val="339966"/>
          <w:lang w:eastAsia="zh-HK"/>
        </w:rPr>
        <w:t xml:space="preserve">For the details of </w:t>
      </w:r>
      <w:r w:rsidRPr="00A90D5D">
        <w:rPr>
          <w:color w:val="339966"/>
        </w:rPr>
        <w:t xml:space="preserve">the current </w:t>
      </w:r>
      <w:r w:rsidR="00D24764" w:rsidRPr="00C8490E">
        <w:rPr>
          <w:color w:val="339966"/>
          <w:lang w:eastAsia="zh-HK"/>
        </w:rPr>
        <w:t xml:space="preserve">profits tax </w:t>
      </w:r>
      <w:r w:rsidRPr="00A90D5D">
        <w:rPr>
          <w:color w:val="339966"/>
        </w:rPr>
        <w:t>rates</w:t>
      </w:r>
      <w:r w:rsidR="00D24764" w:rsidRPr="00C8490E">
        <w:rPr>
          <w:color w:val="339966"/>
          <w:lang w:eastAsia="zh-HK"/>
        </w:rPr>
        <w:t>,</w:t>
      </w:r>
      <w:r w:rsidR="00D24764" w:rsidRPr="00C8490E">
        <w:rPr>
          <w:color w:val="339966"/>
        </w:rPr>
        <w:t xml:space="preserve"> please refer to the website</w:t>
      </w:r>
      <w:r w:rsidR="00D24764" w:rsidRPr="00A90D5D">
        <w:rPr>
          <w:color w:val="339966"/>
        </w:rPr>
        <w:t xml:space="preserve"> of </w:t>
      </w:r>
      <w:r w:rsidR="00D24764" w:rsidRPr="00C8490E">
        <w:rPr>
          <w:color w:val="339966"/>
        </w:rPr>
        <w:t>the Inland Revenue Department www.ird.gov.hk</w:t>
      </w:r>
      <w:r w:rsidRPr="00C8490E">
        <w:rPr>
          <w:color w:val="339966"/>
        </w:rPr>
        <w:t>)</w:t>
      </w:r>
      <w:r w:rsidRPr="00A90D5D">
        <w:rPr>
          <w:color w:val="339966"/>
          <w:lang w:val="en-US"/>
        </w:rPr>
        <w:t xml:space="preserve"> of any fee payable to the Consultants, whether by way of lump sum, instalments or discounted payments, but exclusive of any reimbursement of expenses, if any, in respect of the Services performed/provided in Hong Kong for the settlement of Hong Kong profits tax chargeable on the fee. </w:t>
      </w:r>
      <w:r w:rsidRPr="00A90D5D">
        <w:rPr>
          <w:color w:val="339966"/>
        </w:rPr>
        <w:t xml:space="preserve"> Any balance representing the excess of fees so withheld in the basis period of the year of assessment over the Consultants’ tax liability for that year will be returned to the Consultants without interest within a reasonable time upon final determination and settlement of their tax liabilities.</w:t>
      </w:r>
    </w:p>
    <w:p w:rsidR="00C402B5" w:rsidRPr="00A90D5D" w:rsidRDefault="00C402B5">
      <w:pPr>
        <w:tabs>
          <w:tab w:val="left" w:pos="600"/>
        </w:tabs>
        <w:ind w:left="599" w:rightChars="-225" w:right="-540"/>
        <w:jc w:val="both"/>
        <w:rPr>
          <w:color w:val="339966"/>
          <w:lang w:val="en-US"/>
        </w:rPr>
      </w:pPr>
    </w:p>
    <w:p w:rsidR="00C402B5" w:rsidRPr="00A90D5D" w:rsidRDefault="00C402B5" w:rsidP="00C402B5">
      <w:pPr>
        <w:numPr>
          <w:ilvl w:val="0"/>
          <w:numId w:val="1"/>
        </w:numPr>
        <w:tabs>
          <w:tab w:val="left" w:pos="600"/>
        </w:tabs>
        <w:ind w:rightChars="-225" w:right="-540"/>
        <w:jc w:val="both"/>
        <w:rPr>
          <w:color w:val="339966"/>
          <w:lang w:val="en-US"/>
        </w:rPr>
      </w:pPr>
      <w:r w:rsidRPr="00A90D5D">
        <w:rPr>
          <w:color w:val="339966"/>
          <w:lang w:val="en-US"/>
        </w:rPr>
        <w:t xml:space="preserve">The Consultants acknowledge and consent that in the event that the Consultants are non-resident corporation or, </w:t>
      </w:r>
      <w:r w:rsidRPr="00A90D5D">
        <w:rPr>
          <w:color w:val="339966"/>
        </w:rPr>
        <w:t>where the Consultants are unincorporated joint venture or partnership or sole proprietorship, any one of the participants or partners or the sole proprietor is a non-resident, such data (including but not limited to their names, nature of engagement, consultancy period, consultancy fee, correspondence address (both local and overseas) and the amount of tax withheld) will be notified/provided to the Inland Revenue Department for tax assessment and collection purposes.</w:t>
      </w:r>
    </w:p>
    <w:p w:rsidR="00C402B5" w:rsidRPr="00A90D5D" w:rsidRDefault="00C402B5">
      <w:pPr>
        <w:tabs>
          <w:tab w:val="left" w:pos="600"/>
        </w:tabs>
        <w:ind w:rightChars="-225" w:right="-540"/>
        <w:jc w:val="both"/>
        <w:rPr>
          <w:color w:val="339966"/>
        </w:rPr>
      </w:pPr>
    </w:p>
    <w:p w:rsidR="00C402B5" w:rsidRPr="00A90D5D" w:rsidRDefault="00C402B5" w:rsidP="00C402B5">
      <w:pPr>
        <w:numPr>
          <w:ilvl w:val="0"/>
          <w:numId w:val="1"/>
        </w:numPr>
        <w:tabs>
          <w:tab w:val="left" w:pos="600"/>
        </w:tabs>
        <w:ind w:rightChars="-225" w:right="-540"/>
        <w:jc w:val="both"/>
        <w:rPr>
          <w:color w:val="339966"/>
          <w:lang w:val="en-US"/>
        </w:rPr>
      </w:pPr>
      <w:r w:rsidRPr="00A90D5D">
        <w:rPr>
          <w:color w:val="339966"/>
          <w:lang w:val="en-US"/>
        </w:rPr>
        <w:t xml:space="preserve">The Consultants shall notify the Director’s Representative immediately whenever there is any change during the currency of the Agreement in their resident status or the sole proprietor’s resident status </w:t>
      </w:r>
      <w:r w:rsidRPr="00A90D5D">
        <w:rPr>
          <w:color w:val="339966"/>
        </w:rPr>
        <w:t>or, where the Consultants are unincorporated joint venture or partnership, in any one of the participants’ or partners’ resident status, from that declared in the consultancy proposals.</w:t>
      </w:r>
      <w:r w:rsidRPr="00A90D5D">
        <w:rPr>
          <w:color w:val="339966"/>
          <w:lang w:val="en-US"/>
        </w:rPr>
        <w:t xml:space="preserve"> </w:t>
      </w:r>
      <w:r w:rsidRPr="00A90D5D">
        <w:rPr>
          <w:color w:val="339966"/>
        </w:rPr>
        <w:t xml:space="preserve">   </w:t>
      </w:r>
    </w:p>
    <w:p w:rsidR="00C402B5" w:rsidRPr="00A90D5D" w:rsidRDefault="00C402B5">
      <w:pPr>
        <w:tabs>
          <w:tab w:val="left" w:pos="600"/>
        </w:tabs>
        <w:ind w:rightChars="-225" w:right="-540"/>
        <w:jc w:val="both"/>
        <w:rPr>
          <w:color w:val="339966"/>
          <w:lang w:val="en-US"/>
        </w:rPr>
      </w:pPr>
    </w:p>
    <w:p w:rsidR="00C402B5" w:rsidRPr="00A90D5D" w:rsidRDefault="00C402B5" w:rsidP="00C402B5">
      <w:pPr>
        <w:numPr>
          <w:ilvl w:val="0"/>
          <w:numId w:val="1"/>
        </w:numPr>
        <w:tabs>
          <w:tab w:val="left" w:pos="600"/>
        </w:tabs>
        <w:ind w:rightChars="-225" w:right="-540"/>
        <w:jc w:val="both"/>
        <w:rPr>
          <w:color w:val="339966"/>
          <w:spacing w:val="-3"/>
        </w:rPr>
      </w:pPr>
      <w:r w:rsidRPr="00A90D5D">
        <w:rPr>
          <w:color w:val="339966"/>
        </w:rPr>
        <w:t xml:space="preserve">“Non-resident” means in the case of an individual, one who maintains a place of abode outside Hong Kong; and in the case of a corporation, one which is not incorporated in Hong Kong. </w:t>
      </w:r>
    </w:p>
    <w:sectPr w:rsidR="00C402B5" w:rsidRPr="00A90D5D">
      <w:footerReference w:type="default" r:id="rId9"/>
      <w:pgSz w:w="11906" w:h="16838"/>
      <w:pgMar w:top="1258" w:right="1286"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F5D" w:rsidRDefault="000B7F5D">
      <w:r>
        <w:separator/>
      </w:r>
    </w:p>
  </w:endnote>
  <w:endnote w:type="continuationSeparator" w:id="0">
    <w:p w:rsidR="000B7F5D" w:rsidRDefault="000B7F5D">
      <w:r>
        <w:continuationSeparator/>
      </w:r>
    </w:p>
  </w:endnote>
  <w:endnote w:type="continuationNotice" w:id="1">
    <w:p w:rsidR="000B7F5D" w:rsidRDefault="000B7F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G Times">
    <w:altName w:val="Times New Roman"/>
    <w:panose1 w:val="02020603050405020304"/>
    <w:charset w:val="00"/>
    <w:family w:val="roman"/>
    <w:pitch w:val="variable"/>
    <w:sig w:usb0="00000007" w:usb1="00000000" w:usb2="00000000" w:usb3="00000000" w:csb0="00000093" w:csb1="00000000"/>
  </w:font>
  <w:font w:name="絡遺羹">
    <w:altName w:val="新細明體"/>
    <w:panose1 w:val="00000000000000000000"/>
    <w:charset w:val="88"/>
    <w:family w:val="roman"/>
    <w:notTrueType/>
    <w:pitch w:val="default"/>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2B5" w:rsidRPr="00C8490E" w:rsidRDefault="00E91C0B" w:rsidP="000D39F5">
    <w:pPr>
      <w:pStyle w:val="a6"/>
      <w:rPr>
        <w:color w:val="339966"/>
        <w:sz w:val="24"/>
        <w:szCs w:val="24"/>
      </w:rPr>
    </w:pPr>
    <w:r w:rsidRPr="00C8490E">
      <w:rPr>
        <w:color w:val="339966"/>
        <w:sz w:val="24"/>
        <w:szCs w:val="24"/>
      </w:rPr>
      <w:t xml:space="preserve">Revision No. </w:t>
    </w:r>
    <w:r w:rsidR="00461493" w:rsidRPr="00C8490E">
      <w:rPr>
        <w:color w:val="339966"/>
        <w:sz w:val="24"/>
        <w:szCs w:val="24"/>
        <w:lang w:eastAsia="zh-HK"/>
      </w:rPr>
      <w:t xml:space="preserve">16 </w:t>
    </w:r>
    <w:r w:rsidRPr="00C8490E">
      <w:rPr>
        <w:color w:val="339966"/>
        <w:sz w:val="24"/>
        <w:szCs w:val="24"/>
        <w:lang w:eastAsia="zh-HK"/>
      </w:rPr>
      <w:t>(</w:t>
    </w:r>
    <w:r w:rsidR="00F02710" w:rsidRPr="00C8490E">
      <w:rPr>
        <w:color w:val="339966"/>
        <w:sz w:val="24"/>
        <w:szCs w:val="24"/>
        <w:lang w:eastAsia="zh-HK"/>
      </w:rPr>
      <w:t>December 2020</w:t>
    </w:r>
    <w:r w:rsidRPr="00C8490E">
      <w:rPr>
        <w:color w:val="339966"/>
        <w:sz w:val="24"/>
        <w:szCs w:val="24"/>
        <w:lang w:eastAsia="zh-HK"/>
      </w:rPr>
      <w:t>)</w:t>
    </w:r>
    <w:r w:rsidR="000D39F5">
      <w:rPr>
        <w:color w:val="339966"/>
        <w:sz w:val="24"/>
        <w:szCs w:val="24"/>
        <w:lang w:eastAsia="zh-HK"/>
      </w:rPr>
      <w:tab/>
    </w:r>
    <w:r w:rsidR="00D550F3" w:rsidRPr="00C8490E" w:rsidDel="00D550F3">
      <w:rPr>
        <w:color w:val="339966"/>
        <w:sz w:val="24"/>
        <w:szCs w:val="24"/>
      </w:rPr>
      <w:t xml:space="preserve"> </w:t>
    </w:r>
    <w:r w:rsidR="00C402B5" w:rsidRPr="00C8490E">
      <w:rPr>
        <w:rStyle w:val="a9"/>
        <w:color w:val="339966"/>
        <w:sz w:val="24"/>
        <w:szCs w:val="24"/>
      </w:rPr>
      <w:fldChar w:fldCharType="begin"/>
    </w:r>
    <w:r w:rsidR="00C402B5" w:rsidRPr="00C8490E">
      <w:rPr>
        <w:rStyle w:val="a9"/>
        <w:color w:val="339966"/>
        <w:sz w:val="24"/>
        <w:szCs w:val="24"/>
      </w:rPr>
      <w:instrText xml:space="preserve"> PAGE </w:instrText>
    </w:r>
    <w:r w:rsidR="00C402B5" w:rsidRPr="00C8490E">
      <w:rPr>
        <w:rStyle w:val="a9"/>
        <w:color w:val="339966"/>
        <w:sz w:val="24"/>
        <w:szCs w:val="24"/>
      </w:rPr>
      <w:fldChar w:fldCharType="separate"/>
    </w:r>
    <w:r w:rsidR="00C8490E">
      <w:rPr>
        <w:rStyle w:val="a9"/>
        <w:noProof/>
        <w:color w:val="339966"/>
        <w:sz w:val="24"/>
        <w:szCs w:val="24"/>
      </w:rPr>
      <w:t>1</w:t>
    </w:r>
    <w:r w:rsidR="00C402B5" w:rsidRPr="00C8490E">
      <w:rPr>
        <w:rStyle w:val="a9"/>
        <w:color w:val="339966"/>
        <w:sz w:val="24"/>
        <w:szCs w:val="24"/>
      </w:rPr>
      <w:fldChar w:fldCharType="end"/>
    </w:r>
    <w:r w:rsidR="00C402B5" w:rsidRPr="00C8490E">
      <w:rPr>
        <w:rStyle w:val="a9"/>
        <w:color w:val="339966"/>
        <w:sz w:val="24"/>
        <w:szCs w:val="24"/>
      </w:rPr>
      <w:t xml:space="preserve"> of </w:t>
    </w:r>
    <w:r w:rsidR="00C402B5" w:rsidRPr="00C8490E">
      <w:rPr>
        <w:rStyle w:val="a9"/>
        <w:color w:val="339966"/>
        <w:sz w:val="24"/>
        <w:szCs w:val="24"/>
      </w:rPr>
      <w:fldChar w:fldCharType="begin"/>
    </w:r>
    <w:r w:rsidR="00C402B5" w:rsidRPr="00C8490E">
      <w:rPr>
        <w:rStyle w:val="a9"/>
        <w:color w:val="339966"/>
        <w:sz w:val="24"/>
        <w:szCs w:val="24"/>
      </w:rPr>
      <w:instrText xml:space="preserve"> NUMPAGES </w:instrText>
    </w:r>
    <w:r w:rsidR="00C402B5" w:rsidRPr="00C8490E">
      <w:rPr>
        <w:rStyle w:val="a9"/>
        <w:color w:val="339966"/>
        <w:sz w:val="24"/>
        <w:szCs w:val="24"/>
      </w:rPr>
      <w:fldChar w:fldCharType="separate"/>
    </w:r>
    <w:r w:rsidR="00C8490E">
      <w:rPr>
        <w:rStyle w:val="a9"/>
        <w:noProof/>
        <w:color w:val="339966"/>
        <w:sz w:val="24"/>
        <w:szCs w:val="24"/>
      </w:rPr>
      <w:t>11</w:t>
    </w:r>
    <w:r w:rsidR="00C402B5" w:rsidRPr="00C8490E">
      <w:rPr>
        <w:rStyle w:val="a9"/>
        <w:color w:val="339966"/>
        <w:sz w:val="24"/>
        <w:szCs w:val="24"/>
      </w:rPr>
      <w:fldChar w:fldCharType="end"/>
    </w:r>
    <w:r w:rsidR="00C402B5" w:rsidRPr="00C8490E">
      <w:rPr>
        <w:rStyle w:val="a9"/>
        <w:color w:val="339966"/>
        <w:sz w:val="24"/>
        <w:szCs w:val="24"/>
      </w:rPr>
      <w:tab/>
      <w:t>App. 4.15</w:t>
    </w:r>
  </w:p>
  <w:p w:rsidR="00C402B5" w:rsidRPr="00C8490E" w:rsidRDefault="00C402B5">
    <w:pPr>
      <w:pStyle w:val="a6"/>
      <w:tabs>
        <w:tab w:val="clear" w:pos="8306"/>
        <w:tab w:val="right" w:pos="8460"/>
      </w:tabs>
      <w:rPr>
        <w:i/>
        <w:color w:val="70AD47" w:themeColor="accent6"/>
        <w:sz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C0B" w:rsidRPr="00C8490E" w:rsidRDefault="00F02710">
    <w:pPr>
      <w:pStyle w:val="a6"/>
      <w:rPr>
        <w:color w:val="339966"/>
        <w:sz w:val="24"/>
        <w:szCs w:val="24"/>
      </w:rPr>
    </w:pPr>
    <w:r w:rsidRPr="00C8490E">
      <w:rPr>
        <w:color w:val="339966"/>
        <w:sz w:val="24"/>
        <w:szCs w:val="24"/>
        <w:lang w:eastAsia="zh-HK"/>
      </w:rPr>
      <w:t>Revision No. 16 (December 2020)</w:t>
    </w:r>
    <w:r w:rsidR="00E91C0B" w:rsidRPr="00C8490E">
      <w:rPr>
        <w:color w:val="339966"/>
        <w:sz w:val="24"/>
        <w:szCs w:val="24"/>
      </w:rPr>
      <w:tab/>
    </w:r>
    <w:r w:rsidR="00E91C0B" w:rsidRPr="00C8490E">
      <w:rPr>
        <w:rStyle w:val="a9"/>
        <w:color w:val="339966"/>
        <w:sz w:val="24"/>
        <w:szCs w:val="24"/>
      </w:rPr>
      <w:fldChar w:fldCharType="begin"/>
    </w:r>
    <w:r w:rsidR="00E91C0B" w:rsidRPr="00C8490E">
      <w:rPr>
        <w:rStyle w:val="a9"/>
        <w:color w:val="339966"/>
        <w:sz w:val="24"/>
        <w:szCs w:val="24"/>
      </w:rPr>
      <w:instrText xml:space="preserve"> PAGE </w:instrText>
    </w:r>
    <w:r w:rsidR="00E91C0B" w:rsidRPr="00C8490E">
      <w:rPr>
        <w:rStyle w:val="a9"/>
        <w:color w:val="339966"/>
        <w:sz w:val="24"/>
        <w:szCs w:val="24"/>
      </w:rPr>
      <w:fldChar w:fldCharType="separate"/>
    </w:r>
    <w:r w:rsidR="00C8490E">
      <w:rPr>
        <w:rStyle w:val="a9"/>
        <w:noProof/>
        <w:color w:val="339966"/>
        <w:sz w:val="24"/>
        <w:szCs w:val="24"/>
      </w:rPr>
      <w:t>4</w:t>
    </w:r>
    <w:r w:rsidR="00E91C0B" w:rsidRPr="00C8490E">
      <w:rPr>
        <w:rStyle w:val="a9"/>
        <w:color w:val="339966"/>
        <w:sz w:val="24"/>
        <w:szCs w:val="24"/>
      </w:rPr>
      <w:fldChar w:fldCharType="end"/>
    </w:r>
    <w:r w:rsidR="00E91C0B" w:rsidRPr="00C8490E">
      <w:rPr>
        <w:rStyle w:val="a9"/>
        <w:color w:val="339966"/>
        <w:sz w:val="24"/>
        <w:szCs w:val="24"/>
      </w:rPr>
      <w:t xml:space="preserve"> of </w:t>
    </w:r>
    <w:r w:rsidR="00E91C0B" w:rsidRPr="00C8490E">
      <w:rPr>
        <w:rStyle w:val="a9"/>
        <w:color w:val="339966"/>
        <w:sz w:val="24"/>
        <w:szCs w:val="24"/>
      </w:rPr>
      <w:fldChar w:fldCharType="begin"/>
    </w:r>
    <w:r w:rsidR="00E91C0B" w:rsidRPr="00C8490E">
      <w:rPr>
        <w:rStyle w:val="a9"/>
        <w:color w:val="339966"/>
        <w:sz w:val="24"/>
        <w:szCs w:val="24"/>
      </w:rPr>
      <w:instrText xml:space="preserve"> NUMPAGES </w:instrText>
    </w:r>
    <w:r w:rsidR="00E91C0B" w:rsidRPr="00C8490E">
      <w:rPr>
        <w:rStyle w:val="a9"/>
        <w:color w:val="339966"/>
        <w:sz w:val="24"/>
        <w:szCs w:val="24"/>
      </w:rPr>
      <w:fldChar w:fldCharType="separate"/>
    </w:r>
    <w:r w:rsidR="00C8490E">
      <w:rPr>
        <w:rStyle w:val="a9"/>
        <w:noProof/>
        <w:color w:val="339966"/>
        <w:sz w:val="24"/>
        <w:szCs w:val="24"/>
      </w:rPr>
      <w:t>11</w:t>
    </w:r>
    <w:r w:rsidR="00E91C0B" w:rsidRPr="00C8490E">
      <w:rPr>
        <w:rStyle w:val="a9"/>
        <w:color w:val="339966"/>
        <w:sz w:val="24"/>
        <w:szCs w:val="24"/>
      </w:rPr>
      <w:fldChar w:fldCharType="end"/>
    </w:r>
    <w:r w:rsidR="00E91C0B" w:rsidRPr="00C8490E">
      <w:rPr>
        <w:rStyle w:val="a9"/>
        <w:color w:val="339966"/>
        <w:sz w:val="24"/>
        <w:szCs w:val="24"/>
      </w:rPr>
      <w:tab/>
      <w:t>App. 4.15</w:t>
    </w:r>
  </w:p>
  <w:p w:rsidR="00E91C0B" w:rsidRDefault="00E91C0B">
    <w:pPr>
      <w:pStyle w:val="a6"/>
      <w:tabs>
        <w:tab w:val="clear" w:pos="8306"/>
        <w:tab w:val="right" w:pos="8460"/>
      </w:tabs>
      <w:rPr>
        <w:i/>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F5D" w:rsidRDefault="000B7F5D">
      <w:r>
        <w:separator/>
      </w:r>
    </w:p>
  </w:footnote>
  <w:footnote w:type="continuationSeparator" w:id="0">
    <w:p w:rsidR="000B7F5D" w:rsidRDefault="000B7F5D">
      <w:r>
        <w:continuationSeparator/>
      </w:r>
    </w:p>
  </w:footnote>
  <w:footnote w:type="continuationNotice" w:id="1">
    <w:p w:rsidR="000B7F5D" w:rsidRDefault="000B7F5D"/>
  </w:footnote>
  <w:footnote w:id="2">
    <w:p w:rsidR="00C402B5" w:rsidRPr="000D39F5" w:rsidRDefault="00C402B5">
      <w:pPr>
        <w:pStyle w:val="a7"/>
        <w:rPr>
          <w:color w:val="339966"/>
        </w:rPr>
      </w:pPr>
      <w:r w:rsidRPr="000D39F5">
        <w:rPr>
          <w:rStyle w:val="a8"/>
          <w:color w:val="339966"/>
        </w:rPr>
        <w:footnoteRef/>
      </w:r>
      <w:r w:rsidRPr="000D39F5">
        <w:rPr>
          <w:color w:val="339966"/>
        </w:rPr>
        <w:t xml:space="preserve"> For use where the Consultants are an incorporated company.</w:t>
      </w:r>
    </w:p>
  </w:footnote>
  <w:footnote w:id="3">
    <w:p w:rsidR="00C402B5" w:rsidRPr="000D39F5" w:rsidRDefault="00C402B5">
      <w:pPr>
        <w:pStyle w:val="a7"/>
        <w:rPr>
          <w:color w:val="339966"/>
        </w:rPr>
      </w:pPr>
      <w:r w:rsidRPr="000D39F5">
        <w:rPr>
          <w:rStyle w:val="a8"/>
          <w:color w:val="339966"/>
        </w:rPr>
        <w:footnoteRef/>
      </w:r>
      <w:r w:rsidRPr="000D39F5">
        <w:rPr>
          <w:color w:val="339966"/>
        </w:rPr>
        <w:t xml:space="preserve"> For use where the Consultants are sole proprietorship.</w:t>
      </w:r>
    </w:p>
  </w:footnote>
  <w:footnote w:id="4">
    <w:p w:rsidR="00C402B5" w:rsidRPr="00C8490E" w:rsidRDefault="00C402B5">
      <w:pPr>
        <w:pStyle w:val="a7"/>
        <w:rPr>
          <w:color w:val="339966"/>
        </w:rPr>
      </w:pPr>
      <w:r w:rsidRPr="000D39F5">
        <w:rPr>
          <w:rStyle w:val="a8"/>
          <w:color w:val="339966"/>
        </w:rPr>
        <w:footnoteRef/>
      </w:r>
      <w:r w:rsidRPr="000D39F5">
        <w:rPr>
          <w:color w:val="339966"/>
        </w:rPr>
        <w:t xml:space="preserve"> For use where the Consultants are an unincorporated joint venture or partnership and all the participants/partners are Hong Kong Residents.</w:t>
      </w:r>
    </w:p>
  </w:footnote>
  <w:footnote w:id="5">
    <w:p w:rsidR="00C402B5" w:rsidRPr="00A90D5D" w:rsidRDefault="00C402B5">
      <w:pPr>
        <w:pStyle w:val="a7"/>
        <w:rPr>
          <w:color w:val="339966"/>
        </w:rPr>
      </w:pPr>
      <w:r w:rsidRPr="00A90D5D">
        <w:rPr>
          <w:rStyle w:val="a8"/>
          <w:color w:val="339966"/>
        </w:rPr>
        <w:footnoteRef/>
      </w:r>
      <w:r w:rsidRPr="00A90D5D">
        <w:rPr>
          <w:color w:val="339966"/>
        </w:rPr>
        <w:t xml:space="preserve"> For use where the Consultants are an unincorporated joint venture or partnership and some but not all the participants/partners are Hong Kong Residents.</w:t>
      </w:r>
    </w:p>
    <w:p w:rsidR="00C402B5" w:rsidRDefault="00C402B5">
      <w:pPr>
        <w:pStyle w:val="a7"/>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1A7F69"/>
    <w:multiLevelType w:val="hybridMultilevel"/>
    <w:tmpl w:val="1DC6B24E"/>
    <w:lvl w:ilvl="0" w:tplc="F91C4D54">
      <w:start w:val="1"/>
      <w:numFmt w:val="lowerLetter"/>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20D42319"/>
    <w:multiLevelType w:val="hybridMultilevel"/>
    <w:tmpl w:val="0E507BBE"/>
    <w:lvl w:ilvl="0" w:tplc="C9D0DAA8">
      <w:start w:val="1"/>
      <w:numFmt w:val="decimal"/>
      <w:lvlText w:val="(%1)"/>
      <w:lvlJc w:val="left"/>
      <w:pPr>
        <w:tabs>
          <w:tab w:val="num" w:pos="959"/>
        </w:tabs>
        <w:ind w:left="959" w:hanging="360"/>
      </w:pPr>
      <w:rPr>
        <w:rFonts w:hint="default"/>
      </w:rPr>
    </w:lvl>
    <w:lvl w:ilvl="1" w:tplc="04090019" w:tentative="1">
      <w:start w:val="1"/>
      <w:numFmt w:val="lowerLetter"/>
      <w:lvlText w:val="%2."/>
      <w:lvlJc w:val="left"/>
      <w:pPr>
        <w:tabs>
          <w:tab w:val="num" w:pos="1679"/>
        </w:tabs>
        <w:ind w:left="1679" w:hanging="360"/>
      </w:pPr>
    </w:lvl>
    <w:lvl w:ilvl="2" w:tplc="0409001B" w:tentative="1">
      <w:start w:val="1"/>
      <w:numFmt w:val="lowerRoman"/>
      <w:lvlText w:val="%3."/>
      <w:lvlJc w:val="right"/>
      <w:pPr>
        <w:tabs>
          <w:tab w:val="num" w:pos="2399"/>
        </w:tabs>
        <w:ind w:left="2399" w:hanging="180"/>
      </w:pPr>
    </w:lvl>
    <w:lvl w:ilvl="3" w:tplc="0409000F" w:tentative="1">
      <w:start w:val="1"/>
      <w:numFmt w:val="decimal"/>
      <w:lvlText w:val="%4."/>
      <w:lvlJc w:val="left"/>
      <w:pPr>
        <w:tabs>
          <w:tab w:val="num" w:pos="3119"/>
        </w:tabs>
        <w:ind w:left="3119" w:hanging="360"/>
      </w:pPr>
    </w:lvl>
    <w:lvl w:ilvl="4" w:tplc="04090019" w:tentative="1">
      <w:start w:val="1"/>
      <w:numFmt w:val="lowerLetter"/>
      <w:lvlText w:val="%5."/>
      <w:lvlJc w:val="left"/>
      <w:pPr>
        <w:tabs>
          <w:tab w:val="num" w:pos="3839"/>
        </w:tabs>
        <w:ind w:left="3839" w:hanging="360"/>
      </w:pPr>
    </w:lvl>
    <w:lvl w:ilvl="5" w:tplc="0409001B" w:tentative="1">
      <w:start w:val="1"/>
      <w:numFmt w:val="lowerRoman"/>
      <w:lvlText w:val="%6."/>
      <w:lvlJc w:val="right"/>
      <w:pPr>
        <w:tabs>
          <w:tab w:val="num" w:pos="4559"/>
        </w:tabs>
        <w:ind w:left="4559" w:hanging="180"/>
      </w:pPr>
    </w:lvl>
    <w:lvl w:ilvl="6" w:tplc="0409000F" w:tentative="1">
      <w:start w:val="1"/>
      <w:numFmt w:val="decimal"/>
      <w:lvlText w:val="%7."/>
      <w:lvlJc w:val="left"/>
      <w:pPr>
        <w:tabs>
          <w:tab w:val="num" w:pos="5279"/>
        </w:tabs>
        <w:ind w:left="5279" w:hanging="360"/>
      </w:pPr>
    </w:lvl>
    <w:lvl w:ilvl="7" w:tplc="04090019" w:tentative="1">
      <w:start w:val="1"/>
      <w:numFmt w:val="lowerLetter"/>
      <w:lvlText w:val="%8."/>
      <w:lvlJc w:val="left"/>
      <w:pPr>
        <w:tabs>
          <w:tab w:val="num" w:pos="5999"/>
        </w:tabs>
        <w:ind w:left="5999" w:hanging="360"/>
      </w:pPr>
    </w:lvl>
    <w:lvl w:ilvl="8" w:tplc="0409001B" w:tentative="1">
      <w:start w:val="1"/>
      <w:numFmt w:val="lowerRoman"/>
      <w:lvlText w:val="%9."/>
      <w:lvlJc w:val="right"/>
      <w:pPr>
        <w:tabs>
          <w:tab w:val="num" w:pos="6719"/>
        </w:tabs>
        <w:ind w:left="6719" w:hanging="180"/>
      </w:pPr>
    </w:lvl>
  </w:abstractNum>
  <w:abstractNum w:abstractNumId="2" w15:restartNumberingAfterBreak="0">
    <w:nsid w:val="2F4411CA"/>
    <w:multiLevelType w:val="hybridMultilevel"/>
    <w:tmpl w:val="1228C91E"/>
    <w:lvl w:ilvl="0" w:tplc="610EF59C">
      <w:start w:val="1"/>
      <w:numFmt w:val="decimal"/>
      <w:lvlText w:val="(%1)"/>
      <w:lvlJc w:val="left"/>
      <w:pPr>
        <w:tabs>
          <w:tab w:val="num" w:pos="720"/>
        </w:tabs>
        <w:ind w:left="720" w:hanging="720"/>
      </w:pPr>
      <w:rPr>
        <w:rFonts w:hint="eastAsia"/>
      </w:rPr>
    </w:lvl>
    <w:lvl w:ilvl="1" w:tplc="30F24258">
      <w:start w:val="1"/>
      <w:numFmt w:val="lowerLetter"/>
      <w:lvlText w:val="(%2)"/>
      <w:lvlJc w:val="left"/>
      <w:pPr>
        <w:tabs>
          <w:tab w:val="num" w:pos="1200"/>
        </w:tabs>
        <w:ind w:left="1200" w:hanging="72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422544BD"/>
    <w:multiLevelType w:val="hybridMultilevel"/>
    <w:tmpl w:val="E7FC62CC"/>
    <w:lvl w:ilvl="0" w:tplc="37CAAE08">
      <w:start w:val="2"/>
      <w:numFmt w:val="lowerLetter"/>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65F47CDF"/>
    <w:multiLevelType w:val="hybridMultilevel"/>
    <w:tmpl w:val="DDD604C4"/>
    <w:lvl w:ilvl="0" w:tplc="32FECB38">
      <w:start w:val="6"/>
      <w:numFmt w:val="lowerLetter"/>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2"/>
  </w:num>
  <w:num w:numId="3">
    <w:abstractNumId w:val="3"/>
  </w:num>
  <w:num w:numId="4">
    <w:abstractNumId w:val="4"/>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614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647"/>
    <w:rsid w:val="000B7F5D"/>
    <w:rsid w:val="000D39F5"/>
    <w:rsid w:val="002776CF"/>
    <w:rsid w:val="003C7BBB"/>
    <w:rsid w:val="003D2E75"/>
    <w:rsid w:val="00461493"/>
    <w:rsid w:val="004D3048"/>
    <w:rsid w:val="005E0FFC"/>
    <w:rsid w:val="00631ED3"/>
    <w:rsid w:val="006B2AFD"/>
    <w:rsid w:val="006B5DFB"/>
    <w:rsid w:val="00785D24"/>
    <w:rsid w:val="008827E6"/>
    <w:rsid w:val="00A90D5D"/>
    <w:rsid w:val="00B03A60"/>
    <w:rsid w:val="00C402B5"/>
    <w:rsid w:val="00C8490E"/>
    <w:rsid w:val="00CF390B"/>
    <w:rsid w:val="00D23647"/>
    <w:rsid w:val="00D24764"/>
    <w:rsid w:val="00D550F3"/>
    <w:rsid w:val="00DB25C5"/>
    <w:rsid w:val="00DD7AF6"/>
    <w:rsid w:val="00E33FFE"/>
    <w:rsid w:val="00E91C0B"/>
    <w:rsid w:val="00F02710"/>
    <w:rsid w:val="00F030F0"/>
    <w:rsid w:val="00F576D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3C4C4E3A-270A-42ED-B9E8-7D24BB7D0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lang w:val="en-GB"/>
    </w:rPr>
  </w:style>
  <w:style w:type="paragraph" w:styleId="1">
    <w:name w:val="heading 1"/>
    <w:basedOn w:val="a"/>
    <w:next w:val="a"/>
    <w:qFormat/>
    <w:pPr>
      <w:keepNext/>
      <w:tabs>
        <w:tab w:val="center" w:pos="4500"/>
        <w:tab w:val="right" w:pos="8910"/>
        <w:tab w:val="left" w:pos="9360"/>
      </w:tabs>
      <w:ind w:left="-720" w:right="14"/>
      <w:outlineLvl w:val="0"/>
    </w:pPr>
    <w:rPr>
      <w:b/>
    </w:rPr>
  </w:style>
  <w:style w:type="paragraph" w:styleId="2">
    <w:name w:val="heading 2"/>
    <w:basedOn w:val="a"/>
    <w:next w:val="a"/>
    <w:qFormat/>
    <w:pPr>
      <w:keepNext/>
      <w:widowControl/>
      <w:tabs>
        <w:tab w:val="left" w:pos="1418"/>
      </w:tabs>
      <w:suppressAutoHyphens/>
      <w:overflowPunct w:val="0"/>
      <w:autoSpaceDE w:val="0"/>
      <w:autoSpaceDN w:val="0"/>
      <w:adjustRightInd w:val="0"/>
      <w:jc w:val="both"/>
      <w:textAlignment w:val="baseline"/>
      <w:outlineLvl w:val="1"/>
    </w:pPr>
    <w:rPr>
      <w:b/>
      <w:spacing w:val="-3"/>
      <w:kern w:val="0"/>
      <w:sz w:val="28"/>
      <w:szCs w:val="20"/>
      <w:u w:val="single"/>
    </w:rPr>
  </w:style>
  <w:style w:type="paragraph" w:styleId="3">
    <w:name w:val="heading 3"/>
    <w:basedOn w:val="a"/>
    <w:next w:val="a"/>
    <w:qFormat/>
    <w:pPr>
      <w:keepNext/>
      <w:widowControl/>
      <w:tabs>
        <w:tab w:val="left" w:pos="1418"/>
      </w:tabs>
      <w:suppressAutoHyphens/>
      <w:overflowPunct w:val="0"/>
      <w:autoSpaceDE w:val="0"/>
      <w:autoSpaceDN w:val="0"/>
      <w:adjustRightInd w:val="0"/>
      <w:jc w:val="both"/>
      <w:textAlignment w:val="baseline"/>
      <w:outlineLvl w:val="2"/>
    </w:pPr>
    <w:rPr>
      <w:b/>
      <w:bCs/>
      <w:i/>
      <w:iCs/>
      <w:spacing w:val="-3"/>
      <w:kern w:val="0"/>
      <w:szCs w:val="20"/>
      <w:lang w:val="en-US"/>
    </w:rPr>
  </w:style>
  <w:style w:type="paragraph" w:styleId="4">
    <w:name w:val="heading 4"/>
    <w:basedOn w:val="a"/>
    <w:next w:val="a"/>
    <w:qFormat/>
    <w:pPr>
      <w:keepNext/>
      <w:widowControl/>
      <w:tabs>
        <w:tab w:val="center" w:pos="7371"/>
      </w:tabs>
      <w:suppressAutoHyphens/>
      <w:overflowPunct w:val="0"/>
      <w:autoSpaceDE w:val="0"/>
      <w:autoSpaceDN w:val="0"/>
      <w:adjustRightInd w:val="0"/>
      <w:jc w:val="both"/>
      <w:textAlignment w:val="baseline"/>
      <w:outlineLvl w:val="3"/>
    </w:pPr>
    <w:rPr>
      <w:bCs/>
      <w:i/>
      <w:iCs/>
      <w:spacing w:val="-3"/>
      <w:kern w:val="0"/>
      <w:sz w:val="20"/>
      <w:szCs w:val="20"/>
    </w:rPr>
  </w:style>
  <w:style w:type="paragraph" w:styleId="5">
    <w:name w:val="heading 5"/>
    <w:basedOn w:val="a"/>
    <w:next w:val="a"/>
    <w:qFormat/>
    <w:pPr>
      <w:keepNext/>
      <w:widowControl/>
      <w:overflowPunct w:val="0"/>
      <w:autoSpaceDE w:val="0"/>
      <w:autoSpaceDN w:val="0"/>
      <w:adjustRightInd w:val="0"/>
      <w:jc w:val="both"/>
      <w:textAlignment w:val="baseline"/>
      <w:outlineLvl w:val="4"/>
    </w:pPr>
    <w:rPr>
      <w:rFonts w:eastAsia="細明體"/>
      <w:kern w:val="0"/>
      <w:sz w:val="26"/>
      <w:szCs w:val="20"/>
      <w:lang w:val="en-US"/>
    </w:rPr>
  </w:style>
  <w:style w:type="paragraph" w:styleId="6">
    <w:name w:val="heading 6"/>
    <w:basedOn w:val="a"/>
    <w:next w:val="a"/>
    <w:qFormat/>
    <w:pPr>
      <w:keepNext/>
      <w:widowControl/>
      <w:suppressAutoHyphens/>
      <w:overflowPunct w:val="0"/>
      <w:autoSpaceDE w:val="0"/>
      <w:autoSpaceDN w:val="0"/>
      <w:adjustRightInd w:val="0"/>
      <w:jc w:val="right"/>
      <w:textAlignment w:val="baseline"/>
      <w:outlineLvl w:val="5"/>
    </w:pPr>
    <w:rPr>
      <w:b/>
      <w:spacing w:val="-3"/>
      <w:kern w:val="0"/>
      <w:sz w:val="26"/>
      <w:szCs w:val="20"/>
    </w:rPr>
  </w:style>
  <w:style w:type="paragraph" w:styleId="7">
    <w:name w:val="heading 7"/>
    <w:basedOn w:val="a"/>
    <w:next w:val="a"/>
    <w:qFormat/>
    <w:pPr>
      <w:keepNext/>
      <w:tabs>
        <w:tab w:val="left" w:pos="1418"/>
      </w:tabs>
      <w:suppressAutoHyphens/>
      <w:jc w:val="both"/>
      <w:outlineLvl w:val="6"/>
    </w:pPr>
    <w:rPr>
      <w:color w:val="339966"/>
      <w:spacing w:val="-3"/>
      <w:u w:val="single"/>
      <w:lang w:val="en-US"/>
    </w:rPr>
  </w:style>
  <w:style w:type="paragraph" w:styleId="8">
    <w:name w:val="heading 8"/>
    <w:basedOn w:val="a"/>
    <w:next w:val="a"/>
    <w:qFormat/>
    <w:pPr>
      <w:keepNext/>
      <w:widowControl/>
      <w:tabs>
        <w:tab w:val="center" w:pos="4513"/>
      </w:tabs>
      <w:suppressAutoHyphens/>
      <w:overflowPunct w:val="0"/>
      <w:autoSpaceDE w:val="0"/>
      <w:autoSpaceDN w:val="0"/>
      <w:adjustRightInd w:val="0"/>
      <w:jc w:val="center"/>
      <w:textAlignment w:val="baseline"/>
      <w:outlineLvl w:val="7"/>
    </w:pPr>
    <w:rPr>
      <w:b/>
      <w:spacing w:val="-3"/>
      <w:kern w:val="0"/>
      <w:sz w:val="26"/>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widowControl/>
      <w:tabs>
        <w:tab w:val="center" w:pos="4320"/>
        <w:tab w:val="right" w:pos="8640"/>
      </w:tabs>
      <w:overflowPunct w:val="0"/>
      <w:autoSpaceDE w:val="0"/>
      <w:autoSpaceDN w:val="0"/>
      <w:adjustRightInd w:val="0"/>
      <w:textAlignment w:val="baseline"/>
    </w:pPr>
    <w:rPr>
      <w:rFonts w:ascii="Courier" w:hAnsi="Courier"/>
      <w:kern w:val="0"/>
      <w:szCs w:val="20"/>
    </w:rPr>
  </w:style>
  <w:style w:type="paragraph" w:styleId="a4">
    <w:name w:val="Body Text"/>
    <w:basedOn w:val="a"/>
    <w:semiHidden/>
    <w:pPr>
      <w:widowControl/>
      <w:tabs>
        <w:tab w:val="left" w:pos="1418"/>
      </w:tabs>
      <w:suppressAutoHyphens/>
      <w:overflowPunct w:val="0"/>
      <w:autoSpaceDE w:val="0"/>
      <w:autoSpaceDN w:val="0"/>
      <w:adjustRightInd w:val="0"/>
      <w:jc w:val="both"/>
      <w:textAlignment w:val="baseline"/>
    </w:pPr>
    <w:rPr>
      <w:spacing w:val="-3"/>
      <w:kern w:val="0"/>
      <w:szCs w:val="20"/>
    </w:rPr>
  </w:style>
  <w:style w:type="paragraph" w:styleId="20">
    <w:name w:val="Body Text 2"/>
    <w:basedOn w:val="a"/>
    <w:semiHidden/>
    <w:pPr>
      <w:widowControl/>
      <w:suppressAutoHyphens/>
      <w:overflowPunct w:val="0"/>
      <w:autoSpaceDE w:val="0"/>
      <w:autoSpaceDN w:val="0"/>
      <w:adjustRightInd w:val="0"/>
      <w:jc w:val="both"/>
      <w:textAlignment w:val="baseline"/>
    </w:pPr>
    <w:rPr>
      <w:spacing w:val="-3"/>
      <w:kern w:val="0"/>
      <w:sz w:val="26"/>
      <w:szCs w:val="20"/>
    </w:rPr>
  </w:style>
  <w:style w:type="paragraph" w:styleId="a5">
    <w:name w:val="Body Text Indent"/>
    <w:basedOn w:val="a"/>
    <w:semiHidden/>
    <w:pPr>
      <w:widowControl/>
      <w:overflowPunct w:val="0"/>
      <w:autoSpaceDE w:val="0"/>
      <w:autoSpaceDN w:val="0"/>
      <w:adjustRightInd w:val="0"/>
      <w:ind w:firstLine="1440"/>
      <w:jc w:val="both"/>
      <w:textAlignment w:val="baseline"/>
    </w:pPr>
    <w:rPr>
      <w:kern w:val="0"/>
      <w:sz w:val="26"/>
      <w:szCs w:val="20"/>
    </w:rPr>
  </w:style>
  <w:style w:type="paragraph" w:styleId="a6">
    <w:name w:val="footer"/>
    <w:basedOn w:val="a"/>
    <w:semiHidden/>
    <w:pPr>
      <w:tabs>
        <w:tab w:val="center" w:pos="4153"/>
        <w:tab w:val="right" w:pos="8306"/>
      </w:tabs>
      <w:snapToGrid w:val="0"/>
    </w:pPr>
    <w:rPr>
      <w:sz w:val="20"/>
      <w:szCs w:val="20"/>
    </w:rPr>
  </w:style>
  <w:style w:type="paragraph" w:styleId="a7">
    <w:name w:val="footnote text"/>
    <w:basedOn w:val="a"/>
    <w:semiHidden/>
    <w:pPr>
      <w:widowControl/>
      <w:overflowPunct w:val="0"/>
      <w:autoSpaceDE w:val="0"/>
      <w:autoSpaceDN w:val="0"/>
      <w:adjustRightInd w:val="0"/>
      <w:snapToGrid w:val="0"/>
      <w:textAlignment w:val="baseline"/>
    </w:pPr>
    <w:rPr>
      <w:rFonts w:ascii="Courier" w:hAnsi="Courier"/>
      <w:kern w:val="0"/>
      <w:sz w:val="20"/>
      <w:szCs w:val="20"/>
    </w:rPr>
  </w:style>
  <w:style w:type="character" w:styleId="a8">
    <w:name w:val="footnote reference"/>
    <w:semiHidden/>
    <w:rPr>
      <w:vertAlign w:val="superscript"/>
    </w:rPr>
  </w:style>
  <w:style w:type="paragraph" w:styleId="30">
    <w:name w:val="Body Text 3"/>
    <w:basedOn w:val="a"/>
    <w:semiHidden/>
    <w:pPr>
      <w:tabs>
        <w:tab w:val="left" w:pos="1418"/>
      </w:tabs>
      <w:suppressAutoHyphens/>
      <w:jc w:val="both"/>
    </w:pPr>
    <w:rPr>
      <w:color w:val="339966"/>
      <w:spacing w:val="-3"/>
      <w:lang w:val="en-US"/>
    </w:rPr>
  </w:style>
  <w:style w:type="character" w:styleId="a9">
    <w:name w:val="page number"/>
    <w:basedOn w:val="a0"/>
    <w:semiHidden/>
  </w:style>
  <w:style w:type="paragraph" w:styleId="aa">
    <w:name w:val="Block Text"/>
    <w:basedOn w:val="a"/>
    <w:semiHidden/>
    <w:pPr>
      <w:widowControl/>
      <w:tabs>
        <w:tab w:val="left" w:pos="2160"/>
      </w:tabs>
      <w:overflowPunct w:val="0"/>
      <w:autoSpaceDE w:val="0"/>
      <w:autoSpaceDN w:val="0"/>
      <w:adjustRightInd w:val="0"/>
      <w:ind w:left="720" w:right="612"/>
      <w:jc w:val="both"/>
      <w:textAlignment w:val="baseline"/>
    </w:pPr>
    <w:rPr>
      <w:rFonts w:eastAsia="細明體"/>
      <w:kern w:val="0"/>
      <w:szCs w:val="20"/>
      <w:lang w:val="en-US"/>
    </w:rPr>
  </w:style>
  <w:style w:type="paragraph" w:styleId="ab">
    <w:name w:val="Balloon Text"/>
    <w:basedOn w:val="a"/>
    <w:link w:val="ac"/>
    <w:uiPriority w:val="99"/>
    <w:semiHidden/>
    <w:unhideWhenUsed/>
    <w:rsid w:val="00D23647"/>
    <w:rPr>
      <w:rFonts w:ascii="Cambria" w:hAnsi="Cambria"/>
      <w:sz w:val="18"/>
      <w:szCs w:val="18"/>
    </w:rPr>
  </w:style>
  <w:style w:type="character" w:customStyle="1" w:styleId="ac">
    <w:name w:val="註解方塊文字 字元"/>
    <w:link w:val="ab"/>
    <w:uiPriority w:val="99"/>
    <w:semiHidden/>
    <w:rsid w:val="00D23647"/>
    <w:rPr>
      <w:rFonts w:ascii="Cambria" w:eastAsia="新細明體" w:hAnsi="Cambria" w:cs="Times New Roman"/>
      <w:kern w:val="2"/>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73733-B431-426F-94DB-6DC0B845D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2035</Words>
  <Characters>11649</Characters>
  <Application>Microsoft Office Word</Application>
  <DocSecurity>0</DocSecurity>
  <Lines>97</Lines>
  <Paragraphs>27</Paragraphs>
  <ScaleCrop>false</ScaleCrop>
  <Company>HKSARG</Company>
  <LinksUpToDate>false</LinksUpToDate>
  <CharactersWithSpaces>13657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香 港 特 別 行 政 區 政 府</dc:title>
  <dc:subject/>
  <dc:creator>kongtm</dc:creator>
  <cp:keywords/>
  <cp:lastModifiedBy>eacsb</cp:lastModifiedBy>
  <cp:revision>4</cp:revision>
  <cp:lastPrinted>2020-12-28T09:04:00Z</cp:lastPrinted>
  <dcterms:created xsi:type="dcterms:W3CDTF">2020-12-01T09:19:00Z</dcterms:created>
  <dcterms:modified xsi:type="dcterms:W3CDTF">2020-12-28T09:06:00Z</dcterms:modified>
</cp:coreProperties>
</file>